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7A2" w:rsidRPr="003639B8" w:rsidRDefault="00F11091" w:rsidP="00AA5C64">
      <w:pPr>
        <w:keepNext/>
        <w:keepLines/>
        <w:jc w:val="center"/>
        <w:rPr>
          <w:rFonts w:asciiTheme="minorHAnsi" w:hAnsiTheme="minorHAnsi"/>
          <w:b/>
          <w:sz w:val="28"/>
          <w:szCs w:val="28"/>
        </w:rPr>
      </w:pPr>
      <w:r w:rsidRPr="003639B8">
        <w:rPr>
          <w:rFonts w:asciiTheme="minorHAnsi" w:hAnsiTheme="minorHAnsi"/>
          <w:b/>
          <w:sz w:val="44"/>
          <w:szCs w:val="44"/>
        </w:rPr>
        <w:t xml:space="preserve">Smlouva </w:t>
      </w:r>
      <w:r w:rsidR="006A200A" w:rsidRPr="003639B8">
        <w:rPr>
          <w:rFonts w:asciiTheme="minorHAnsi" w:hAnsiTheme="minorHAnsi"/>
          <w:b/>
          <w:sz w:val="44"/>
          <w:szCs w:val="44"/>
        </w:rPr>
        <w:t>o poskytnutí dotace z rozpočtu K</w:t>
      </w:r>
      <w:r w:rsidRPr="003639B8">
        <w:rPr>
          <w:rFonts w:asciiTheme="minorHAnsi" w:hAnsiTheme="minorHAnsi"/>
          <w:b/>
          <w:sz w:val="44"/>
          <w:szCs w:val="44"/>
        </w:rPr>
        <w:t>rálovéhradeckého kraje</w:t>
      </w:r>
      <w:r w:rsidR="002F2C1B" w:rsidRPr="003639B8">
        <w:rPr>
          <w:rFonts w:asciiTheme="minorHAnsi" w:hAnsiTheme="minorHAnsi"/>
          <w:b/>
          <w:sz w:val="44"/>
          <w:szCs w:val="44"/>
        </w:rPr>
        <w:t xml:space="preserve"> </w:t>
      </w:r>
      <w:r w:rsidR="002F2C1B" w:rsidRPr="003639B8">
        <w:rPr>
          <w:rFonts w:asciiTheme="minorHAnsi" w:hAnsiTheme="minorHAnsi"/>
          <w:b/>
          <w:sz w:val="40"/>
          <w:szCs w:val="44"/>
        </w:rPr>
        <w:t>č.</w:t>
      </w:r>
      <w:r w:rsidR="00970526" w:rsidRPr="003639B8">
        <w:rPr>
          <w:rFonts w:asciiTheme="minorHAnsi" w:hAnsiTheme="minorHAnsi"/>
          <w:b/>
          <w:sz w:val="40"/>
          <w:szCs w:val="44"/>
        </w:rPr>
        <w:t>KK</w:t>
      </w:r>
      <w:r w:rsidR="002F2C1B" w:rsidRPr="003639B8">
        <w:rPr>
          <w:rFonts w:asciiTheme="minorHAnsi" w:hAnsiTheme="minorHAnsi"/>
          <w:b/>
          <w:sz w:val="40"/>
          <w:szCs w:val="44"/>
        </w:rPr>
        <w:t>_15_</w:t>
      </w:r>
      <w:r w:rsidR="00F074B0" w:rsidRPr="003639B8">
        <w:rPr>
          <w:rFonts w:asciiTheme="minorHAnsi" w:hAnsiTheme="minorHAnsi"/>
          <w:b/>
          <w:sz w:val="40"/>
          <w:szCs w:val="44"/>
        </w:rPr>
        <w:t>xxxxxxx</w:t>
      </w:r>
    </w:p>
    <w:p w:rsidR="007D6EFD" w:rsidRPr="003639B8" w:rsidRDefault="007D6EFD" w:rsidP="00AA5C64">
      <w:pPr>
        <w:keepNext/>
        <w:keepLines/>
        <w:rPr>
          <w:rFonts w:asciiTheme="minorHAnsi" w:hAnsiTheme="minorHAnsi"/>
          <w:szCs w:val="22"/>
        </w:rPr>
      </w:pPr>
    </w:p>
    <w:p w:rsidR="007A03F4" w:rsidRPr="003639B8" w:rsidRDefault="007A03F4" w:rsidP="00AA5C64">
      <w:pPr>
        <w:pStyle w:val="Nadpis1"/>
        <w:keepLines/>
        <w:rPr>
          <w:rFonts w:asciiTheme="minorHAnsi" w:hAnsiTheme="minorHAnsi"/>
        </w:rPr>
      </w:pPr>
      <w:r w:rsidRPr="003639B8">
        <w:rPr>
          <w:rFonts w:asciiTheme="minorHAnsi" w:hAnsiTheme="minorHAnsi"/>
        </w:rPr>
        <w:t>Smluvní strany</w:t>
      </w:r>
    </w:p>
    <w:p w:rsidR="00324DD3" w:rsidRPr="003639B8" w:rsidRDefault="00324DD3" w:rsidP="00AA5C64">
      <w:pPr>
        <w:keepNext/>
        <w:keepLines/>
        <w:rPr>
          <w:rFonts w:asciiTheme="minorHAnsi" w:hAnsiTheme="minorHAnsi" w:cs="Calibri"/>
          <w:b/>
          <w:szCs w:val="22"/>
        </w:rPr>
      </w:pPr>
    </w:p>
    <w:p w:rsidR="007A03F4" w:rsidRPr="003639B8" w:rsidRDefault="007A03F4" w:rsidP="00AA5C64">
      <w:pPr>
        <w:keepNext/>
        <w:keepLines/>
        <w:rPr>
          <w:rFonts w:asciiTheme="minorHAnsi" w:hAnsiTheme="minorHAnsi" w:cs="Calibri"/>
          <w:b/>
          <w:szCs w:val="22"/>
        </w:rPr>
      </w:pPr>
      <w:r w:rsidRPr="003639B8">
        <w:rPr>
          <w:rFonts w:asciiTheme="minorHAnsi" w:hAnsiTheme="minorHAnsi" w:cs="Calibri"/>
          <w:b/>
          <w:szCs w:val="22"/>
        </w:rPr>
        <w:t>Královéhradecký kraj</w:t>
      </w:r>
    </w:p>
    <w:p w:rsidR="007A03F4" w:rsidRPr="003639B8" w:rsidRDefault="007A03F4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>se sídlem: Pivovarské náměstí 1245/2, 500 03 Hradec Králové</w:t>
      </w:r>
    </w:p>
    <w:p w:rsidR="007A03F4" w:rsidRPr="003639B8" w:rsidRDefault="007A03F4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 xml:space="preserve">zastoupený: Bc. Lubomírem Francem, hejtmanem </w:t>
      </w:r>
    </w:p>
    <w:p w:rsidR="007A03F4" w:rsidRPr="003639B8" w:rsidRDefault="007A03F4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>IČ: 70 88 95 46</w:t>
      </w:r>
    </w:p>
    <w:p w:rsidR="007A03F4" w:rsidRPr="003639B8" w:rsidRDefault="007A03F4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>DIČ: CZ 70 88 95 46</w:t>
      </w:r>
    </w:p>
    <w:p w:rsidR="007A03F4" w:rsidRPr="003639B8" w:rsidRDefault="007A03F4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>bankovní spojení: Komerční banka, a.s. – pobočka Hradec Králové</w:t>
      </w:r>
    </w:p>
    <w:p w:rsidR="007A03F4" w:rsidRPr="003639B8" w:rsidRDefault="007A03F4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 xml:space="preserve">číslo účtu: 43-3076420267/0100 </w:t>
      </w:r>
    </w:p>
    <w:p w:rsidR="007A03F4" w:rsidRPr="003639B8" w:rsidRDefault="007A03F4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>(dále též jako „</w:t>
      </w:r>
      <w:r w:rsidRPr="003639B8">
        <w:rPr>
          <w:rFonts w:asciiTheme="minorHAnsi" w:hAnsiTheme="minorHAnsi" w:cs="Calibri"/>
          <w:b/>
          <w:i/>
          <w:szCs w:val="22"/>
        </w:rPr>
        <w:t>Poskytovatel</w:t>
      </w:r>
      <w:r w:rsidRPr="003639B8">
        <w:rPr>
          <w:rFonts w:asciiTheme="minorHAnsi" w:hAnsiTheme="minorHAnsi" w:cs="Calibri"/>
          <w:szCs w:val="22"/>
        </w:rPr>
        <w:t>“)</w:t>
      </w:r>
    </w:p>
    <w:p w:rsidR="00812B97" w:rsidRPr="003639B8" w:rsidRDefault="00812B97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</w:p>
    <w:p w:rsidR="007A03F4" w:rsidRPr="003639B8" w:rsidRDefault="007A03F4" w:rsidP="00AA5C64">
      <w:pPr>
        <w:keepNext/>
        <w:keepLines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>a</w:t>
      </w:r>
    </w:p>
    <w:p w:rsidR="007A03F4" w:rsidRPr="003639B8" w:rsidRDefault="007A03F4" w:rsidP="00AA5C64">
      <w:pPr>
        <w:keepNext/>
        <w:keepLines/>
        <w:rPr>
          <w:rFonts w:asciiTheme="minorHAnsi" w:hAnsiTheme="minorHAnsi" w:cs="Calibri"/>
          <w:szCs w:val="22"/>
          <w:u w:val="single"/>
        </w:rPr>
      </w:pPr>
    </w:p>
    <w:p w:rsidR="001F0A59" w:rsidRPr="003639B8" w:rsidRDefault="00D31983" w:rsidP="001F0A59">
      <w:pPr>
        <w:keepNext/>
        <w:keepLines/>
        <w:rPr>
          <w:rFonts w:asciiTheme="minorHAnsi" w:hAnsiTheme="minorHAnsi" w:cs="Calibri"/>
          <w:b/>
          <w:szCs w:val="22"/>
        </w:rPr>
      </w:pPr>
      <w:r w:rsidRPr="003639B8">
        <w:rPr>
          <w:rFonts w:asciiTheme="minorHAnsi" w:hAnsiTheme="minorHAnsi" w:cs="Calibri"/>
          <w:b/>
          <w:szCs w:val="22"/>
        </w:rPr>
        <w:t>…</w:t>
      </w:r>
      <w:r w:rsidR="002D58FC" w:rsidRPr="003639B8">
        <w:rPr>
          <w:rFonts w:asciiTheme="minorHAnsi" w:hAnsiTheme="minorHAnsi" w:cs="Calibri"/>
          <w:b/>
          <w:szCs w:val="22"/>
        </w:rPr>
        <w:t xml:space="preserve"> </w:t>
      </w:r>
    </w:p>
    <w:p w:rsidR="007A03F4" w:rsidRPr="003639B8" w:rsidRDefault="002D58FC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 xml:space="preserve">se </w:t>
      </w:r>
      <w:r w:rsidR="007A03F4" w:rsidRPr="003639B8">
        <w:rPr>
          <w:rFonts w:asciiTheme="minorHAnsi" w:hAnsiTheme="minorHAnsi" w:cs="Calibri"/>
          <w:szCs w:val="22"/>
        </w:rPr>
        <w:t>sídlem:</w:t>
      </w:r>
    </w:p>
    <w:p w:rsidR="007A03F4" w:rsidRPr="003639B8" w:rsidRDefault="002D58FC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>zastoupený</w:t>
      </w:r>
      <w:r w:rsidR="007A03F4" w:rsidRPr="003639B8">
        <w:rPr>
          <w:rFonts w:asciiTheme="minorHAnsi" w:hAnsiTheme="minorHAnsi" w:cs="Calibri"/>
          <w:szCs w:val="22"/>
        </w:rPr>
        <w:t>:</w:t>
      </w:r>
    </w:p>
    <w:p w:rsidR="007A03F4" w:rsidRPr="003639B8" w:rsidRDefault="007A03F4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>IČ:</w:t>
      </w:r>
    </w:p>
    <w:p w:rsidR="007A03F4" w:rsidRPr="003639B8" w:rsidRDefault="007A03F4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>DIČ:</w:t>
      </w:r>
    </w:p>
    <w:p w:rsidR="007A03F4" w:rsidRPr="003639B8" w:rsidRDefault="002D58FC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 xml:space="preserve">bankovní </w:t>
      </w:r>
      <w:r w:rsidR="007A03F4" w:rsidRPr="003639B8">
        <w:rPr>
          <w:rFonts w:asciiTheme="minorHAnsi" w:hAnsiTheme="minorHAnsi" w:cs="Calibri"/>
          <w:szCs w:val="22"/>
        </w:rPr>
        <w:t>spojení:</w:t>
      </w:r>
    </w:p>
    <w:p w:rsidR="007A03F4" w:rsidRPr="003639B8" w:rsidRDefault="002D58FC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 xml:space="preserve">číslo </w:t>
      </w:r>
      <w:r w:rsidR="007A03F4" w:rsidRPr="003639B8">
        <w:rPr>
          <w:rFonts w:asciiTheme="minorHAnsi" w:hAnsiTheme="minorHAnsi" w:cs="Calibri"/>
          <w:szCs w:val="22"/>
        </w:rPr>
        <w:t>účtu:</w:t>
      </w:r>
    </w:p>
    <w:p w:rsidR="007A03F4" w:rsidRPr="003639B8" w:rsidRDefault="002D58FC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 xml:space="preserve">identifikátor </w:t>
      </w:r>
      <w:r w:rsidR="00B274FC" w:rsidRPr="003639B8">
        <w:rPr>
          <w:rFonts w:asciiTheme="minorHAnsi" w:hAnsiTheme="minorHAnsi" w:cs="Calibri"/>
          <w:szCs w:val="22"/>
        </w:rPr>
        <w:t>služby</w:t>
      </w:r>
      <w:r w:rsidR="007A03F4" w:rsidRPr="003639B8">
        <w:rPr>
          <w:rFonts w:asciiTheme="minorHAnsi" w:hAnsiTheme="minorHAnsi" w:cs="Calibri"/>
          <w:szCs w:val="22"/>
        </w:rPr>
        <w:t>:</w:t>
      </w:r>
    </w:p>
    <w:p w:rsidR="007A03F4" w:rsidRPr="003639B8" w:rsidRDefault="007A03F4" w:rsidP="00AA5C64">
      <w:pPr>
        <w:keepNext/>
        <w:keepLines/>
        <w:ind w:left="54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>(dále též jako „</w:t>
      </w:r>
      <w:r w:rsidRPr="003639B8">
        <w:rPr>
          <w:rFonts w:asciiTheme="minorHAnsi" w:hAnsiTheme="minorHAnsi" w:cs="Calibri"/>
          <w:b/>
          <w:i/>
          <w:szCs w:val="22"/>
        </w:rPr>
        <w:t>Příjemce</w:t>
      </w:r>
      <w:r w:rsidRPr="003639B8">
        <w:rPr>
          <w:rFonts w:asciiTheme="minorHAnsi" w:hAnsiTheme="minorHAnsi" w:cs="Calibri"/>
          <w:szCs w:val="22"/>
        </w:rPr>
        <w:t>“)</w:t>
      </w:r>
    </w:p>
    <w:p w:rsidR="007A03F4" w:rsidRPr="003639B8" w:rsidRDefault="007A03F4" w:rsidP="00AA5C64">
      <w:pPr>
        <w:keepNext/>
        <w:keepLines/>
        <w:rPr>
          <w:rFonts w:asciiTheme="minorHAnsi" w:hAnsiTheme="minorHAnsi" w:cs="Calibri"/>
          <w:szCs w:val="22"/>
        </w:rPr>
      </w:pPr>
    </w:p>
    <w:p w:rsidR="007A03F4" w:rsidRPr="003639B8" w:rsidRDefault="007A03F4" w:rsidP="00AA5C64">
      <w:pPr>
        <w:keepNext/>
        <w:keepLines/>
        <w:rPr>
          <w:rFonts w:asciiTheme="minorHAnsi" w:hAnsiTheme="minorHAnsi" w:cs="Calibri"/>
          <w:b/>
          <w:i/>
          <w:szCs w:val="22"/>
        </w:rPr>
      </w:pPr>
      <w:r w:rsidRPr="003639B8">
        <w:rPr>
          <w:rFonts w:asciiTheme="minorHAnsi" w:hAnsiTheme="minorHAnsi" w:cs="Calibri"/>
          <w:szCs w:val="22"/>
        </w:rPr>
        <w:t>Příjemce a Poskytovatel společně dále též jako „</w:t>
      </w:r>
      <w:r w:rsidRPr="003639B8">
        <w:rPr>
          <w:rFonts w:asciiTheme="minorHAnsi" w:hAnsiTheme="minorHAnsi" w:cs="Calibri"/>
          <w:b/>
          <w:i/>
          <w:szCs w:val="22"/>
        </w:rPr>
        <w:t>Smluvní strany</w:t>
      </w:r>
      <w:r w:rsidRPr="003639B8">
        <w:rPr>
          <w:rFonts w:asciiTheme="minorHAnsi" w:hAnsiTheme="minorHAnsi" w:cs="Calibri"/>
          <w:szCs w:val="22"/>
        </w:rPr>
        <w:t>“</w:t>
      </w:r>
      <w:r w:rsidR="002D58FC" w:rsidRPr="003639B8">
        <w:rPr>
          <w:rFonts w:asciiTheme="minorHAnsi" w:hAnsiTheme="minorHAnsi" w:cs="Calibri"/>
          <w:szCs w:val="22"/>
        </w:rPr>
        <w:t xml:space="preserve"> či </w:t>
      </w:r>
      <w:r w:rsidR="002D58FC" w:rsidRPr="003639B8">
        <w:rPr>
          <w:rFonts w:asciiTheme="minorHAnsi" w:hAnsiTheme="minorHAnsi" w:cs="Calibri"/>
          <w:b/>
          <w:i/>
          <w:szCs w:val="22"/>
        </w:rPr>
        <w:t>„Smluvní strana“</w:t>
      </w:r>
    </w:p>
    <w:p w:rsidR="007A03F4" w:rsidRPr="003639B8" w:rsidRDefault="007A03F4" w:rsidP="00AA5C64">
      <w:pPr>
        <w:keepNext/>
        <w:keepLines/>
        <w:widowControl w:val="0"/>
        <w:autoSpaceDE w:val="0"/>
        <w:autoSpaceDN w:val="0"/>
        <w:adjustRightInd w:val="0"/>
        <w:spacing w:before="100" w:after="100"/>
        <w:rPr>
          <w:rFonts w:asciiTheme="minorHAnsi" w:hAnsiTheme="minorHAnsi" w:cs="Calibri"/>
          <w:szCs w:val="22"/>
        </w:rPr>
      </w:pPr>
    </w:p>
    <w:p w:rsidR="007A03F4" w:rsidRPr="003639B8" w:rsidRDefault="007A03F4" w:rsidP="00AA5C64">
      <w:pPr>
        <w:keepNext/>
        <w:keepLines/>
        <w:widowControl w:val="0"/>
        <w:autoSpaceDE w:val="0"/>
        <w:autoSpaceDN w:val="0"/>
        <w:adjustRightInd w:val="0"/>
        <w:spacing w:before="100" w:after="100"/>
        <w:rPr>
          <w:rFonts w:asciiTheme="minorHAnsi" w:hAnsiTheme="minorHAnsi" w:cs="Calibri"/>
          <w:szCs w:val="22"/>
        </w:rPr>
      </w:pPr>
      <w:r w:rsidRPr="003639B8">
        <w:rPr>
          <w:rFonts w:asciiTheme="minorHAnsi" w:hAnsiTheme="minorHAnsi" w:cs="Calibri"/>
          <w:szCs w:val="22"/>
        </w:rPr>
        <w:t xml:space="preserve">uzavírají v souladu s ustanovením § 159 a násl. zákona č. 500/2004 Sb., správní řád, ve znění pozdějších předpisů </w:t>
      </w:r>
      <w:r w:rsidR="00F57041" w:rsidRPr="003639B8">
        <w:rPr>
          <w:rFonts w:asciiTheme="minorHAnsi" w:hAnsiTheme="minorHAnsi" w:cs="Calibri"/>
          <w:szCs w:val="22"/>
        </w:rPr>
        <w:t xml:space="preserve">(dále jen </w:t>
      </w:r>
      <w:r w:rsidR="00F57041" w:rsidRPr="003639B8">
        <w:rPr>
          <w:rFonts w:asciiTheme="minorHAnsi" w:hAnsiTheme="minorHAnsi" w:cs="Calibri"/>
          <w:b/>
          <w:i/>
          <w:szCs w:val="22"/>
        </w:rPr>
        <w:t>„SŘ“</w:t>
      </w:r>
      <w:r w:rsidR="00F57041" w:rsidRPr="003639B8">
        <w:rPr>
          <w:rFonts w:asciiTheme="minorHAnsi" w:hAnsiTheme="minorHAnsi" w:cs="Calibri"/>
          <w:szCs w:val="22"/>
        </w:rPr>
        <w:t>)</w:t>
      </w:r>
      <w:r w:rsidR="00D46DBD" w:rsidRPr="003639B8">
        <w:rPr>
          <w:rFonts w:asciiTheme="minorHAnsi" w:hAnsiTheme="minorHAnsi" w:cs="Calibri"/>
          <w:szCs w:val="22"/>
        </w:rPr>
        <w:t>,</w:t>
      </w:r>
      <w:r w:rsidR="00D46DBD" w:rsidRPr="003639B8">
        <w:t xml:space="preserve"> </w:t>
      </w:r>
      <w:r w:rsidR="003C0F2F" w:rsidRPr="003639B8">
        <w:t xml:space="preserve">ustanoveními </w:t>
      </w:r>
      <w:r w:rsidR="003C0F2F" w:rsidRPr="003639B8">
        <w:rPr>
          <w:rFonts w:asciiTheme="minorHAnsi" w:hAnsiTheme="minorHAnsi" w:cs="Calibri"/>
          <w:szCs w:val="22"/>
        </w:rPr>
        <w:t>zákona</w:t>
      </w:r>
      <w:r w:rsidR="00D46DBD" w:rsidRPr="003639B8">
        <w:rPr>
          <w:rFonts w:asciiTheme="minorHAnsi" w:hAnsiTheme="minorHAnsi" w:cs="Calibri"/>
          <w:szCs w:val="22"/>
        </w:rPr>
        <w:t xml:space="preserve"> č. 250/2000 Sb., o rozpočtových pravidlech územních rozpočtů, ve znění pozdějších předpisů (dále jen </w:t>
      </w:r>
      <w:r w:rsidR="00D46DBD" w:rsidRPr="003639B8">
        <w:rPr>
          <w:rFonts w:asciiTheme="minorHAnsi" w:hAnsiTheme="minorHAnsi" w:cs="Calibri"/>
          <w:b/>
          <w:i/>
          <w:szCs w:val="22"/>
        </w:rPr>
        <w:t>„rozpočtová pravidla“</w:t>
      </w:r>
      <w:r w:rsidR="00D46DBD" w:rsidRPr="003639B8">
        <w:rPr>
          <w:rFonts w:asciiTheme="minorHAnsi" w:hAnsiTheme="minorHAnsi" w:cs="Calibri"/>
          <w:szCs w:val="22"/>
        </w:rPr>
        <w:t>)</w:t>
      </w:r>
      <w:r w:rsidR="003C0F2F" w:rsidRPr="003639B8">
        <w:rPr>
          <w:rFonts w:asciiTheme="minorHAnsi" w:hAnsiTheme="minorHAnsi" w:cs="Calibri"/>
          <w:szCs w:val="22"/>
        </w:rPr>
        <w:t>,</w:t>
      </w:r>
      <w:r w:rsidR="00F57041" w:rsidRPr="003639B8">
        <w:rPr>
          <w:rFonts w:asciiTheme="minorHAnsi" w:hAnsiTheme="minorHAnsi" w:cs="Calibri"/>
          <w:szCs w:val="22"/>
        </w:rPr>
        <w:t xml:space="preserve"> </w:t>
      </w:r>
      <w:r w:rsidRPr="003639B8">
        <w:rPr>
          <w:rFonts w:asciiTheme="minorHAnsi" w:hAnsiTheme="minorHAnsi" w:cs="Calibri"/>
          <w:szCs w:val="22"/>
        </w:rPr>
        <w:t xml:space="preserve">a v návaznosti na příslušná ustanovení zákona č. 89/2012 Sb., </w:t>
      </w:r>
      <w:r w:rsidR="001F0A59" w:rsidRPr="003639B8">
        <w:rPr>
          <w:rFonts w:asciiTheme="minorHAnsi" w:hAnsiTheme="minorHAnsi" w:cs="Calibri"/>
          <w:szCs w:val="22"/>
        </w:rPr>
        <w:t xml:space="preserve">občanský </w:t>
      </w:r>
      <w:r w:rsidRPr="003639B8">
        <w:rPr>
          <w:rFonts w:asciiTheme="minorHAnsi" w:hAnsiTheme="minorHAnsi" w:cs="Calibri"/>
          <w:szCs w:val="22"/>
        </w:rPr>
        <w:t xml:space="preserve">zákoník, </w:t>
      </w:r>
      <w:r w:rsidR="003C0F2F" w:rsidRPr="003639B8">
        <w:rPr>
          <w:rFonts w:asciiTheme="minorHAnsi" w:hAnsiTheme="minorHAnsi" w:cs="Calibri"/>
          <w:szCs w:val="22"/>
        </w:rPr>
        <w:t xml:space="preserve">ve znění pozdějších předpisů </w:t>
      </w:r>
      <w:r w:rsidRPr="003639B8">
        <w:rPr>
          <w:rFonts w:asciiTheme="minorHAnsi" w:hAnsiTheme="minorHAnsi" w:cs="Calibri"/>
          <w:szCs w:val="22"/>
        </w:rPr>
        <w:t>(dále jen „</w:t>
      </w:r>
      <w:r w:rsidRPr="003639B8">
        <w:rPr>
          <w:rFonts w:asciiTheme="minorHAnsi" w:hAnsiTheme="minorHAnsi" w:cs="Calibri"/>
          <w:b/>
          <w:i/>
          <w:szCs w:val="22"/>
        </w:rPr>
        <w:t>OZ</w:t>
      </w:r>
      <w:r w:rsidRPr="003639B8">
        <w:rPr>
          <w:rFonts w:asciiTheme="minorHAnsi" w:hAnsiTheme="minorHAnsi" w:cs="Calibri"/>
          <w:szCs w:val="22"/>
        </w:rPr>
        <w:t>“</w:t>
      </w:r>
      <w:r w:rsidR="00D31983" w:rsidRPr="003639B8">
        <w:rPr>
          <w:rFonts w:asciiTheme="minorHAnsi" w:hAnsiTheme="minorHAnsi" w:cs="Calibri"/>
          <w:szCs w:val="22"/>
        </w:rPr>
        <w:t>)</w:t>
      </w:r>
      <w:r w:rsidR="003C0F2F" w:rsidRPr="003639B8">
        <w:rPr>
          <w:rFonts w:asciiTheme="minorHAnsi" w:hAnsiTheme="minorHAnsi" w:cs="Calibri"/>
          <w:szCs w:val="22"/>
        </w:rPr>
        <w:t>,</w:t>
      </w:r>
      <w:r w:rsidRPr="003639B8">
        <w:rPr>
          <w:rFonts w:asciiTheme="minorHAnsi" w:hAnsiTheme="minorHAnsi" w:cs="Calibri"/>
          <w:szCs w:val="22"/>
        </w:rPr>
        <w:t xml:space="preserve"> níže uvedeného dne, měsíce a roku tuto</w:t>
      </w:r>
      <w:r w:rsidRPr="003639B8">
        <w:rPr>
          <w:rFonts w:asciiTheme="minorHAnsi" w:hAnsiTheme="minorHAnsi"/>
          <w:b/>
          <w:sz w:val="44"/>
          <w:szCs w:val="44"/>
        </w:rPr>
        <w:t xml:space="preserve"> </w:t>
      </w:r>
      <w:r w:rsidR="00324DD3" w:rsidRPr="003639B8">
        <w:rPr>
          <w:rFonts w:asciiTheme="minorHAnsi" w:hAnsiTheme="minorHAnsi" w:cs="Calibri"/>
          <w:b/>
          <w:szCs w:val="22"/>
        </w:rPr>
        <w:t xml:space="preserve">smlouvu </w:t>
      </w:r>
      <w:r w:rsidRPr="003639B8">
        <w:rPr>
          <w:rFonts w:asciiTheme="minorHAnsi" w:hAnsiTheme="minorHAnsi" w:cs="Calibri"/>
          <w:b/>
          <w:szCs w:val="22"/>
        </w:rPr>
        <w:t>o poskytnutí dotace z rozpočtu Královéhradeckého kraje</w:t>
      </w:r>
      <w:r w:rsidR="004D0637" w:rsidRPr="003639B8">
        <w:rPr>
          <w:rFonts w:asciiTheme="minorHAnsi" w:hAnsiTheme="minorHAnsi" w:cs="Calibri"/>
          <w:b/>
          <w:szCs w:val="22"/>
        </w:rPr>
        <w:t xml:space="preserve"> </w:t>
      </w:r>
      <w:r w:rsidR="00D31983" w:rsidRPr="003639B8">
        <w:rPr>
          <w:rFonts w:asciiTheme="minorHAnsi" w:hAnsiTheme="minorHAnsi" w:cs="Calibri"/>
          <w:szCs w:val="22"/>
        </w:rPr>
        <w:t>(dále též jen</w:t>
      </w:r>
      <w:r w:rsidR="004D0637" w:rsidRPr="003639B8">
        <w:rPr>
          <w:rFonts w:asciiTheme="minorHAnsi" w:hAnsiTheme="minorHAnsi" w:cs="Calibri"/>
          <w:b/>
          <w:szCs w:val="22"/>
        </w:rPr>
        <w:t xml:space="preserve"> „</w:t>
      </w:r>
      <w:r w:rsidR="004D0637" w:rsidRPr="003639B8">
        <w:rPr>
          <w:rFonts w:asciiTheme="minorHAnsi" w:hAnsiTheme="minorHAnsi" w:cs="Calibri"/>
          <w:b/>
          <w:i/>
          <w:szCs w:val="22"/>
        </w:rPr>
        <w:t>Smlouva</w:t>
      </w:r>
      <w:r w:rsidR="004D0637" w:rsidRPr="003639B8">
        <w:rPr>
          <w:rFonts w:asciiTheme="minorHAnsi" w:hAnsiTheme="minorHAnsi" w:cs="Calibri"/>
          <w:b/>
          <w:szCs w:val="22"/>
        </w:rPr>
        <w:t>“</w:t>
      </w:r>
      <w:r w:rsidR="00D31983" w:rsidRPr="003639B8">
        <w:rPr>
          <w:rFonts w:asciiTheme="minorHAnsi" w:hAnsiTheme="minorHAnsi" w:cs="Calibri"/>
          <w:szCs w:val="22"/>
        </w:rPr>
        <w:t>).</w:t>
      </w:r>
    </w:p>
    <w:p w:rsidR="007A03F4" w:rsidRPr="003639B8" w:rsidRDefault="007A03F4" w:rsidP="00AA5C64">
      <w:pPr>
        <w:keepNext/>
        <w:keepLines/>
        <w:rPr>
          <w:rFonts w:asciiTheme="minorHAnsi" w:hAnsiTheme="minorHAnsi"/>
        </w:rPr>
      </w:pPr>
    </w:p>
    <w:p w:rsidR="007A03F4" w:rsidRPr="003639B8" w:rsidRDefault="007A03F4" w:rsidP="00AA5C64">
      <w:pPr>
        <w:keepNext/>
        <w:keepLines/>
        <w:spacing w:before="0" w:after="0"/>
        <w:jc w:val="left"/>
        <w:rPr>
          <w:rFonts w:asciiTheme="minorHAnsi" w:hAnsiTheme="minorHAnsi" w:cs="Arial"/>
          <w:b/>
          <w:sz w:val="26"/>
          <w:szCs w:val="32"/>
        </w:rPr>
      </w:pPr>
      <w:r w:rsidRPr="003639B8">
        <w:rPr>
          <w:rFonts w:asciiTheme="minorHAnsi" w:hAnsiTheme="minorHAnsi"/>
        </w:rPr>
        <w:br w:type="page"/>
      </w:r>
    </w:p>
    <w:p w:rsidR="00B61DA2" w:rsidRPr="003639B8" w:rsidRDefault="00774FFE" w:rsidP="00AA5C64">
      <w:pPr>
        <w:pStyle w:val="Nadpis1"/>
        <w:keepLines/>
        <w:rPr>
          <w:rFonts w:asciiTheme="minorHAnsi" w:hAnsiTheme="minorHAnsi"/>
        </w:rPr>
      </w:pPr>
      <w:r w:rsidRPr="003639B8">
        <w:rPr>
          <w:rFonts w:asciiTheme="minorHAnsi" w:hAnsiTheme="minorHAnsi"/>
        </w:rPr>
        <w:lastRenderedPageBreak/>
        <w:t>Preambule</w:t>
      </w:r>
    </w:p>
    <w:p w:rsidR="00774FFE" w:rsidRPr="003639B8" w:rsidRDefault="00774FFE" w:rsidP="00AA5C64">
      <w:pPr>
        <w:keepNext/>
        <w:keepLines/>
        <w:tabs>
          <w:tab w:val="num" w:pos="0"/>
        </w:tabs>
        <w:rPr>
          <w:rFonts w:asciiTheme="minorHAnsi" w:hAnsiTheme="minorHAnsi"/>
        </w:rPr>
      </w:pPr>
    </w:p>
    <w:p w:rsidR="00774FFE" w:rsidRPr="003639B8" w:rsidRDefault="00774FFE" w:rsidP="00AA5C64">
      <w:pPr>
        <w:keepNext/>
        <w:keepLines/>
        <w:tabs>
          <w:tab w:val="num" w:pos="0"/>
        </w:tabs>
        <w:rPr>
          <w:rFonts w:asciiTheme="minorHAnsi" w:hAnsiTheme="minorHAnsi"/>
          <w:color w:val="000000" w:themeColor="text1"/>
          <w:szCs w:val="22"/>
        </w:rPr>
      </w:pPr>
      <w:r w:rsidRPr="003639B8">
        <w:rPr>
          <w:rFonts w:asciiTheme="minorHAnsi" w:hAnsiTheme="minorHAnsi"/>
          <w:color w:val="000000" w:themeColor="text1"/>
          <w:szCs w:val="22"/>
        </w:rPr>
        <w:t>Vzhledem k</w:t>
      </w:r>
      <w:r w:rsidR="006109C2" w:rsidRPr="003639B8">
        <w:rPr>
          <w:rFonts w:asciiTheme="minorHAnsi" w:hAnsiTheme="minorHAnsi"/>
          <w:color w:val="000000" w:themeColor="text1"/>
          <w:szCs w:val="22"/>
        </w:rPr>
        <w:t>e skutečnosti</w:t>
      </w:r>
      <w:r w:rsidRPr="003639B8">
        <w:rPr>
          <w:rFonts w:asciiTheme="minorHAnsi" w:hAnsiTheme="minorHAnsi"/>
          <w:color w:val="000000" w:themeColor="text1"/>
          <w:szCs w:val="22"/>
        </w:rPr>
        <w:t>, že</w:t>
      </w:r>
    </w:p>
    <w:p w:rsidR="006109C2" w:rsidRPr="003639B8" w:rsidRDefault="006C0D3A" w:rsidP="00AA5C64">
      <w:pPr>
        <w:pStyle w:val="Nadpis2"/>
      </w:pPr>
      <w:r w:rsidRPr="003639B8">
        <w:t xml:space="preserve">Poskytovatel </w:t>
      </w:r>
      <w:r w:rsidR="006109C2" w:rsidRPr="003639B8">
        <w:t xml:space="preserve">shledává nezbytné zajistit dostupnost poskytování sociálních služeb zařazených do sítě veřejně podporovaných sociálních služeb v Královéhradeckém kraji (dále </w:t>
      </w:r>
      <w:r w:rsidR="00324DD3" w:rsidRPr="003639B8">
        <w:t xml:space="preserve">též </w:t>
      </w:r>
      <w:r w:rsidR="006109C2" w:rsidRPr="003639B8">
        <w:t>jako „</w:t>
      </w:r>
      <w:r w:rsidR="006109C2" w:rsidRPr="003639B8">
        <w:rPr>
          <w:b/>
          <w:i/>
        </w:rPr>
        <w:t xml:space="preserve">síť </w:t>
      </w:r>
      <w:r w:rsidR="002F24F0" w:rsidRPr="003639B8">
        <w:rPr>
          <w:b/>
          <w:i/>
        </w:rPr>
        <w:t>KHK</w:t>
      </w:r>
      <w:r w:rsidR="006109C2" w:rsidRPr="003639B8">
        <w:t>“</w:t>
      </w:r>
      <w:r w:rsidR="00CB4923" w:rsidRPr="003639B8">
        <w:t xml:space="preserve">; Královéhradecký kraj dále </w:t>
      </w:r>
      <w:r w:rsidR="00324DD3" w:rsidRPr="003639B8">
        <w:t>též jako</w:t>
      </w:r>
      <w:r w:rsidR="00CB4923" w:rsidRPr="003639B8">
        <w:t xml:space="preserve"> </w:t>
      </w:r>
      <w:r w:rsidR="00D31983" w:rsidRPr="003639B8">
        <w:rPr>
          <w:b/>
          <w:i/>
        </w:rPr>
        <w:t>„KHK“</w:t>
      </w:r>
      <w:r w:rsidR="006109C2" w:rsidRPr="003639B8">
        <w:t>), a to</w:t>
      </w:r>
      <w:r w:rsidR="00970526" w:rsidRPr="003639B8">
        <w:t xml:space="preserve"> z rozpočtu </w:t>
      </w:r>
      <w:r w:rsidR="00324DD3" w:rsidRPr="003639B8">
        <w:t>KHK</w:t>
      </w:r>
      <w:r w:rsidR="00970526" w:rsidRPr="003639B8">
        <w:t xml:space="preserve">; </w:t>
      </w:r>
      <w:r w:rsidR="006109C2" w:rsidRPr="003639B8">
        <w:t xml:space="preserve"> </w:t>
      </w:r>
    </w:p>
    <w:p w:rsidR="00774FFE" w:rsidRPr="003639B8" w:rsidRDefault="006C0D3A" w:rsidP="00AA5C64">
      <w:pPr>
        <w:pStyle w:val="Nadpis2"/>
      </w:pPr>
      <w:r w:rsidRPr="003639B8">
        <w:t xml:space="preserve">Příjemce </w:t>
      </w:r>
      <w:r w:rsidR="00774FFE" w:rsidRPr="003639B8">
        <w:t xml:space="preserve">jako oprávněný poskytovatel </w:t>
      </w:r>
      <w:r w:rsidRPr="003639B8">
        <w:t xml:space="preserve">sociální služby </w:t>
      </w:r>
      <w:r w:rsidR="00774FFE" w:rsidRPr="003639B8">
        <w:t xml:space="preserve">vedený v registru poskytovatelů sociálních služeb dle § 78 a násl. zákona </w:t>
      </w:r>
      <w:r w:rsidRPr="003639B8">
        <w:t xml:space="preserve">č. </w:t>
      </w:r>
      <w:r w:rsidR="00324DD3" w:rsidRPr="003639B8">
        <w:t>108/2006</w:t>
      </w:r>
      <w:r w:rsidR="001F0A59" w:rsidRPr="003639B8">
        <w:t xml:space="preserve"> Sb.</w:t>
      </w:r>
      <w:r w:rsidR="00324DD3" w:rsidRPr="003639B8">
        <w:t xml:space="preserve">, o sociálních službách, ve znění pozdějších předpisů (dále jen </w:t>
      </w:r>
      <w:r w:rsidR="00D31983" w:rsidRPr="003639B8">
        <w:rPr>
          <w:b/>
          <w:i/>
        </w:rPr>
        <w:t>„ZSS“</w:t>
      </w:r>
      <w:r w:rsidR="00324DD3" w:rsidRPr="003639B8">
        <w:t>)</w:t>
      </w:r>
      <w:r w:rsidR="00774FFE" w:rsidRPr="003639B8">
        <w:t xml:space="preserve"> byl na základě Pověření </w:t>
      </w:r>
      <w:r w:rsidR="00324DD3" w:rsidRPr="003639B8">
        <w:t xml:space="preserve">Královéhradeckého kraje </w:t>
      </w:r>
      <w:r w:rsidR="00774FFE" w:rsidRPr="003639B8">
        <w:t>k zajištění dostupnosti poskytován</w:t>
      </w:r>
      <w:r w:rsidR="00C32F47" w:rsidRPr="003639B8">
        <w:t>í sociální služby zařazením do s</w:t>
      </w:r>
      <w:r w:rsidR="00774FFE" w:rsidRPr="003639B8">
        <w:t xml:space="preserve">ítě </w:t>
      </w:r>
      <w:r w:rsidR="00FC77DF" w:rsidRPr="003639B8">
        <w:t xml:space="preserve">veřejně podporovaných sociálních služeb v Královéhradeckém kraji </w:t>
      </w:r>
      <w:r w:rsidR="00282630" w:rsidRPr="003639B8">
        <w:t>(dále jen „</w:t>
      </w:r>
      <w:r w:rsidR="00282630" w:rsidRPr="003639B8">
        <w:rPr>
          <w:b/>
          <w:i/>
        </w:rPr>
        <w:t>Pověření</w:t>
      </w:r>
      <w:r w:rsidR="00282630" w:rsidRPr="003639B8">
        <w:t>“)</w:t>
      </w:r>
      <w:r w:rsidR="00FF3021" w:rsidRPr="003639B8">
        <w:t xml:space="preserve"> zařazen do s</w:t>
      </w:r>
      <w:r w:rsidR="00282630" w:rsidRPr="003639B8">
        <w:t>ítě</w:t>
      </w:r>
      <w:r w:rsidR="00FC77DF" w:rsidRPr="003639B8">
        <w:t xml:space="preserve"> KHK</w:t>
      </w:r>
      <w:r w:rsidR="00774FFE" w:rsidRPr="003639B8">
        <w:t xml:space="preserve">; </w:t>
      </w:r>
    </w:p>
    <w:p w:rsidR="00774FFE" w:rsidRPr="003639B8" w:rsidRDefault="00C14746" w:rsidP="00AA5C64">
      <w:pPr>
        <w:pStyle w:val="Nadpis2"/>
        <w:spacing w:after="0"/>
      </w:pPr>
      <w:r w:rsidRPr="003639B8">
        <w:t>Poskytovatel</w:t>
      </w:r>
      <w:r w:rsidR="00D87ECE" w:rsidRPr="003639B8">
        <w:t xml:space="preserve"> rozhodl</w:t>
      </w:r>
      <w:r w:rsidR="00774FFE" w:rsidRPr="003639B8">
        <w:t xml:space="preserve"> </w:t>
      </w:r>
      <w:r w:rsidR="00354DB5" w:rsidRPr="003639B8">
        <w:t xml:space="preserve">v souladu s § 10a rozpočtových pravidel a </w:t>
      </w:r>
      <w:r w:rsidR="00774FFE" w:rsidRPr="003639B8">
        <w:t>na základě žádosti Příjemce o přidělení účelově určené dotace</w:t>
      </w:r>
      <w:r w:rsidR="00FE3046" w:rsidRPr="003639B8">
        <w:t xml:space="preserve"> (dále jen „</w:t>
      </w:r>
      <w:r w:rsidR="00FE3046" w:rsidRPr="003639B8">
        <w:rPr>
          <w:b/>
          <w:i/>
        </w:rPr>
        <w:t>Žádost</w:t>
      </w:r>
      <w:r w:rsidR="00FE3046" w:rsidRPr="003639B8">
        <w:t>“)</w:t>
      </w:r>
      <w:r w:rsidR="00FC77DF" w:rsidRPr="003639B8">
        <w:t>;</w:t>
      </w:r>
      <w:r w:rsidR="0065097D" w:rsidRPr="003639B8">
        <w:t xml:space="preserve"> </w:t>
      </w:r>
    </w:p>
    <w:p w:rsidR="00774FFE" w:rsidRPr="003639B8" w:rsidRDefault="006C0D3A" w:rsidP="001F0A59">
      <w:pPr>
        <w:pStyle w:val="Nadpis2"/>
      </w:pPr>
      <w:r w:rsidRPr="003639B8">
        <w:t xml:space="preserve">Příjemce </w:t>
      </w:r>
      <w:r w:rsidR="00282630" w:rsidRPr="003639B8">
        <w:t xml:space="preserve">není schopen </w:t>
      </w:r>
      <w:r w:rsidR="007D6EFD" w:rsidRPr="003639B8">
        <w:t xml:space="preserve">pokrýt veškeré náklady </w:t>
      </w:r>
      <w:r w:rsidR="006E20BA" w:rsidRPr="003639B8">
        <w:t xml:space="preserve">spojené </w:t>
      </w:r>
      <w:r w:rsidR="007D6EFD" w:rsidRPr="003639B8">
        <w:t>s poskyt</w:t>
      </w:r>
      <w:r w:rsidR="006E20BA" w:rsidRPr="003639B8">
        <w:t xml:space="preserve">ováním </w:t>
      </w:r>
      <w:r w:rsidRPr="003639B8">
        <w:t xml:space="preserve">sociální </w:t>
      </w:r>
      <w:r w:rsidR="006E20BA" w:rsidRPr="003639B8">
        <w:t>služby,</w:t>
      </w:r>
      <w:r w:rsidR="008162DC" w:rsidRPr="003639B8">
        <w:t xml:space="preserve"> a proto</w:t>
      </w:r>
      <w:r w:rsidR="007D6EFD" w:rsidRPr="003639B8">
        <w:t xml:space="preserve"> je</w:t>
      </w:r>
      <w:r w:rsidR="006E20BA" w:rsidRPr="003639B8">
        <w:t xml:space="preserve"> </w:t>
      </w:r>
      <w:r w:rsidR="007D6EFD" w:rsidRPr="003639B8">
        <w:t xml:space="preserve">mu poskytována vyrovnávací platba z veřejných rozpočtů, která slouží k dokrytí provozních </w:t>
      </w:r>
      <w:r w:rsidR="00D31983" w:rsidRPr="003639B8">
        <w:t>potřeb.</w:t>
      </w:r>
      <w:r w:rsidR="00D55ECD" w:rsidRPr="003639B8">
        <w:rPr>
          <w:b/>
          <w:i/>
        </w:rPr>
        <w:t xml:space="preserve"> </w:t>
      </w:r>
      <w:r w:rsidR="00D31983" w:rsidRPr="003639B8">
        <w:t>Dotace poskytnutá</w:t>
      </w:r>
      <w:r w:rsidR="007D6EFD" w:rsidRPr="003639B8">
        <w:t xml:space="preserve"> KHK</w:t>
      </w:r>
      <w:r w:rsidR="00D82328" w:rsidRPr="003639B8">
        <w:t xml:space="preserve"> ze svého rozpočtu</w:t>
      </w:r>
      <w:r w:rsidR="007D6EFD" w:rsidRPr="003639B8">
        <w:t xml:space="preserve"> je součástí této vyrovnávací platby, přičemž dalšími složkami </w:t>
      </w:r>
      <w:r w:rsidR="00282630" w:rsidRPr="003639B8">
        <w:t>jsou zpravidla</w:t>
      </w:r>
      <w:r w:rsidR="007D6EFD" w:rsidRPr="003639B8">
        <w:t xml:space="preserve"> prostředky z </w:t>
      </w:r>
      <w:r w:rsidR="001F0A59" w:rsidRPr="003639B8">
        <w:t>rozpočtů obcí</w:t>
      </w:r>
      <w:r w:rsidR="00282630" w:rsidRPr="003639B8">
        <w:t xml:space="preserve">, </w:t>
      </w:r>
      <w:r w:rsidR="00D82328" w:rsidRPr="003639B8">
        <w:t xml:space="preserve">ze státního rozpočtu, </w:t>
      </w:r>
      <w:r w:rsidR="00282630" w:rsidRPr="003639B8">
        <w:t>případně jiné</w:t>
      </w:r>
      <w:r w:rsidR="00DA1AE7" w:rsidRPr="003639B8">
        <w:t xml:space="preserve"> zdroje;</w:t>
      </w:r>
      <w:r w:rsidR="007D6EFD" w:rsidRPr="003639B8">
        <w:t xml:space="preserve"> </w:t>
      </w:r>
    </w:p>
    <w:p w:rsidR="00242E17" w:rsidRPr="003639B8" w:rsidRDefault="007A03F4" w:rsidP="00A91598">
      <w:pPr>
        <w:pStyle w:val="Nadpis2"/>
        <w:spacing w:after="0"/>
      </w:pPr>
      <w:r w:rsidRPr="003639B8">
        <w:t>R</w:t>
      </w:r>
      <w:r w:rsidR="00774FFE" w:rsidRPr="003639B8">
        <w:t xml:space="preserve">ozhodnutí </w:t>
      </w:r>
      <w:r w:rsidRPr="003639B8">
        <w:t xml:space="preserve">o poskytnutí dotace </w:t>
      </w:r>
      <w:r w:rsidR="00774FFE" w:rsidRPr="003639B8">
        <w:t xml:space="preserve">a stanovení </w:t>
      </w:r>
      <w:r w:rsidRPr="003639B8">
        <w:t>její výše</w:t>
      </w:r>
      <w:r w:rsidR="00242E17" w:rsidRPr="003639B8">
        <w:t xml:space="preserve"> je výsledkem</w:t>
      </w:r>
      <w:r w:rsidR="00774FFE" w:rsidRPr="003639B8">
        <w:t xml:space="preserve"> projednání </w:t>
      </w:r>
      <w:r w:rsidR="00242E17" w:rsidRPr="003639B8">
        <w:t>Žádosti Odborem</w:t>
      </w:r>
      <w:r w:rsidR="00F60B8F" w:rsidRPr="003639B8">
        <w:t xml:space="preserve"> sociálních věcí Krajského úřadu </w:t>
      </w:r>
      <w:r w:rsidR="00242E17" w:rsidRPr="003639B8">
        <w:t>KHK</w:t>
      </w:r>
      <w:r w:rsidR="00A927F1" w:rsidRPr="003639B8">
        <w:t xml:space="preserve"> (dále jen „</w:t>
      </w:r>
      <w:r w:rsidR="00A927F1" w:rsidRPr="003639B8">
        <w:rPr>
          <w:b/>
          <w:i/>
        </w:rPr>
        <w:t>Odbor</w:t>
      </w:r>
      <w:r w:rsidR="00A927F1" w:rsidRPr="003639B8">
        <w:t>“)</w:t>
      </w:r>
      <w:r w:rsidR="00242E17" w:rsidRPr="003639B8">
        <w:t>,</w:t>
      </w:r>
      <w:r w:rsidR="00F60B8F" w:rsidRPr="003639B8">
        <w:t xml:space="preserve"> schválení</w:t>
      </w:r>
      <w:r w:rsidR="00242E17" w:rsidRPr="003639B8">
        <w:t xml:space="preserve"> Radou KHK</w:t>
      </w:r>
      <w:r w:rsidR="001C72E6" w:rsidRPr="003639B8">
        <w:t xml:space="preserve"> </w:t>
      </w:r>
      <w:r w:rsidR="00242E17" w:rsidRPr="003639B8">
        <w:t>a konečným rozhodnutím Zastupitelstva KHK</w:t>
      </w:r>
      <w:r w:rsidR="00C14746" w:rsidRPr="003639B8">
        <w:t>;</w:t>
      </w:r>
    </w:p>
    <w:p w:rsidR="001F0A59" w:rsidRPr="003639B8" w:rsidRDefault="001F0A59"/>
    <w:p w:rsidR="001F0A59" w:rsidRPr="003639B8" w:rsidRDefault="00C14746">
      <w:pPr>
        <w:tabs>
          <w:tab w:val="num" w:pos="0"/>
        </w:tabs>
        <w:rPr>
          <w:rFonts w:asciiTheme="minorHAnsi" w:hAnsiTheme="minorHAnsi"/>
        </w:rPr>
      </w:pPr>
      <w:r w:rsidRPr="003639B8">
        <w:rPr>
          <w:rFonts w:asciiTheme="minorHAnsi" w:hAnsiTheme="minorHAnsi"/>
        </w:rPr>
        <w:t xml:space="preserve">a </w:t>
      </w:r>
      <w:r w:rsidR="00774FFE" w:rsidRPr="003639B8">
        <w:rPr>
          <w:rFonts w:asciiTheme="minorHAnsi" w:hAnsiTheme="minorHAnsi"/>
        </w:rPr>
        <w:t>při zachování základních principů dotačního řízení, mezi něž patří</w:t>
      </w:r>
      <w:r w:rsidR="00F60B8F" w:rsidRPr="003639B8">
        <w:rPr>
          <w:rFonts w:asciiTheme="minorHAnsi" w:hAnsiTheme="minorHAnsi"/>
        </w:rPr>
        <w:t xml:space="preserve"> zejména</w:t>
      </w:r>
      <w:r w:rsidR="00774FFE" w:rsidRPr="003639B8">
        <w:rPr>
          <w:rFonts w:asciiTheme="minorHAnsi" w:hAnsiTheme="minorHAnsi"/>
        </w:rPr>
        <w:t xml:space="preserve"> rovný přístup ke všem poskytova</w:t>
      </w:r>
      <w:r w:rsidR="00F60B8F" w:rsidRPr="003639B8">
        <w:rPr>
          <w:rFonts w:asciiTheme="minorHAnsi" w:hAnsiTheme="minorHAnsi"/>
        </w:rPr>
        <w:t>telům</w:t>
      </w:r>
      <w:r w:rsidR="001F0A59" w:rsidRPr="003639B8">
        <w:rPr>
          <w:rFonts w:asciiTheme="minorHAnsi" w:hAnsiTheme="minorHAnsi"/>
        </w:rPr>
        <w:t xml:space="preserve"> sociální služby</w:t>
      </w:r>
      <w:r w:rsidR="00F60B8F" w:rsidRPr="003639B8">
        <w:rPr>
          <w:rFonts w:asciiTheme="minorHAnsi" w:hAnsiTheme="minorHAnsi"/>
        </w:rPr>
        <w:t>,</w:t>
      </w:r>
      <w:r w:rsidR="00774FFE" w:rsidRPr="003639B8">
        <w:rPr>
          <w:rFonts w:asciiTheme="minorHAnsi" w:hAnsiTheme="minorHAnsi"/>
        </w:rPr>
        <w:t xml:space="preserve"> </w:t>
      </w:r>
      <w:r w:rsidR="00F60B8F" w:rsidRPr="003639B8">
        <w:rPr>
          <w:rFonts w:asciiTheme="minorHAnsi" w:hAnsiTheme="minorHAnsi"/>
        </w:rPr>
        <w:t>výpočet</w:t>
      </w:r>
      <w:r w:rsidR="00774FFE" w:rsidRPr="003639B8">
        <w:rPr>
          <w:rFonts w:asciiTheme="minorHAnsi" w:hAnsiTheme="minorHAnsi"/>
        </w:rPr>
        <w:t xml:space="preserve"> finanční podpory jednot</w:t>
      </w:r>
      <w:r w:rsidR="007A03F4" w:rsidRPr="003639B8">
        <w:rPr>
          <w:rFonts w:asciiTheme="minorHAnsi" w:hAnsiTheme="minorHAnsi"/>
        </w:rPr>
        <w:t>ným</w:t>
      </w:r>
      <w:r w:rsidR="00F60B8F" w:rsidRPr="003639B8">
        <w:rPr>
          <w:rFonts w:asciiTheme="minorHAnsi" w:hAnsiTheme="minorHAnsi"/>
        </w:rPr>
        <w:t>, transparentním a</w:t>
      </w:r>
      <w:r w:rsidR="007A03F4" w:rsidRPr="003639B8">
        <w:rPr>
          <w:rFonts w:asciiTheme="minorHAnsi" w:hAnsiTheme="minorHAnsi"/>
        </w:rPr>
        <w:t xml:space="preserve"> nediskriminujícím způsobem</w:t>
      </w:r>
      <w:r w:rsidR="00F60B8F" w:rsidRPr="003639B8">
        <w:rPr>
          <w:rFonts w:asciiTheme="minorHAnsi" w:hAnsiTheme="minorHAnsi"/>
        </w:rPr>
        <w:t xml:space="preserve"> pro všechny poskytovatele sociální služby bez ohledu na jejich právní formu, vícezdrojové financování na základě síťového přístupu a zajištění dostupnosti sociálních služeb jako služeb obecného hospodářského zájmu</w:t>
      </w:r>
      <w:r w:rsidR="00774FFE" w:rsidRPr="003639B8">
        <w:rPr>
          <w:rFonts w:asciiTheme="minorHAnsi" w:hAnsiTheme="minorHAnsi"/>
        </w:rPr>
        <w:t xml:space="preserve"> </w:t>
      </w:r>
      <w:r w:rsidR="00F60B8F" w:rsidRPr="003639B8">
        <w:rPr>
          <w:rFonts w:asciiTheme="minorHAnsi" w:hAnsiTheme="minorHAnsi"/>
        </w:rPr>
        <w:t xml:space="preserve">rozhodlo </w:t>
      </w:r>
      <w:r w:rsidR="0091049F" w:rsidRPr="003639B8">
        <w:rPr>
          <w:rFonts w:asciiTheme="minorHAnsi" w:hAnsiTheme="minorHAnsi"/>
        </w:rPr>
        <w:t xml:space="preserve">Zastupitelstvo KHK </w:t>
      </w:r>
      <w:r w:rsidR="00774FFE" w:rsidRPr="003639B8">
        <w:rPr>
          <w:rFonts w:asciiTheme="minorHAnsi" w:hAnsiTheme="minorHAnsi"/>
        </w:rPr>
        <w:t xml:space="preserve">svým usnesením ze dne </w:t>
      </w:r>
      <w:r w:rsidR="001F0A59" w:rsidRPr="003639B8">
        <w:rPr>
          <w:rFonts w:asciiTheme="minorHAnsi" w:hAnsiTheme="minorHAnsi"/>
        </w:rPr>
        <w:t>xxxxx o uzavření</w:t>
      </w:r>
      <w:r w:rsidR="00774FFE" w:rsidRPr="003639B8">
        <w:rPr>
          <w:rFonts w:asciiTheme="minorHAnsi" w:hAnsiTheme="minorHAnsi"/>
        </w:rPr>
        <w:t xml:space="preserve"> této Smlouvy s </w:t>
      </w:r>
      <w:r w:rsidR="001F0A59" w:rsidRPr="003639B8">
        <w:rPr>
          <w:rFonts w:asciiTheme="minorHAnsi" w:hAnsiTheme="minorHAnsi"/>
        </w:rPr>
        <w:t>Příjemcem</w:t>
      </w:r>
      <w:r w:rsidR="00774FFE" w:rsidRPr="003639B8">
        <w:rPr>
          <w:rFonts w:asciiTheme="minorHAnsi" w:hAnsiTheme="minorHAnsi"/>
        </w:rPr>
        <w:t>.</w:t>
      </w:r>
      <w:r w:rsidR="00C847D4" w:rsidRPr="003639B8">
        <w:rPr>
          <w:rFonts w:asciiTheme="minorHAnsi" w:hAnsiTheme="minorHAnsi"/>
        </w:rPr>
        <w:t xml:space="preserve"> </w:t>
      </w:r>
    </w:p>
    <w:p w:rsidR="001F0A59" w:rsidRPr="003639B8" w:rsidRDefault="001F0A59">
      <w:pPr>
        <w:spacing w:before="0" w:after="0" w:line="240" w:lineRule="auto"/>
        <w:jc w:val="left"/>
        <w:rPr>
          <w:rFonts w:asciiTheme="minorHAnsi" w:hAnsiTheme="minorHAnsi"/>
        </w:rPr>
      </w:pPr>
      <w:r w:rsidRPr="003639B8">
        <w:rPr>
          <w:rFonts w:asciiTheme="minorHAnsi" w:hAnsiTheme="minorHAnsi"/>
        </w:rPr>
        <w:br w:type="page"/>
      </w:r>
    </w:p>
    <w:p w:rsidR="001F0A59" w:rsidRPr="003639B8" w:rsidRDefault="00C70C44">
      <w:pPr>
        <w:pStyle w:val="Nadpis1"/>
        <w:keepNext w:val="0"/>
        <w:rPr>
          <w:rFonts w:asciiTheme="minorHAnsi" w:hAnsiTheme="minorHAnsi"/>
        </w:rPr>
      </w:pPr>
      <w:r w:rsidRPr="003639B8">
        <w:rPr>
          <w:rFonts w:asciiTheme="minorHAnsi" w:hAnsiTheme="minorHAnsi"/>
        </w:rPr>
        <w:lastRenderedPageBreak/>
        <w:t xml:space="preserve">Předmět </w:t>
      </w:r>
      <w:r w:rsidR="001C72E6" w:rsidRPr="003639B8">
        <w:rPr>
          <w:rFonts w:asciiTheme="minorHAnsi" w:hAnsiTheme="minorHAnsi"/>
        </w:rPr>
        <w:t xml:space="preserve">Smlouvy </w:t>
      </w:r>
    </w:p>
    <w:p w:rsidR="001F0A59" w:rsidRPr="003639B8" w:rsidRDefault="00A510DB">
      <w:pPr>
        <w:pStyle w:val="Nadpis2"/>
        <w:keepNext w:val="0"/>
        <w:keepLines w:val="0"/>
      </w:pPr>
      <w:r w:rsidRPr="003639B8">
        <w:t>Předmětem S</w:t>
      </w:r>
      <w:r w:rsidR="00C70C44" w:rsidRPr="003639B8">
        <w:t>mlou</w:t>
      </w:r>
      <w:r w:rsidR="00EB5C45" w:rsidRPr="003639B8">
        <w:t>vy je poskytnutí účelově určené</w:t>
      </w:r>
      <w:r w:rsidR="006C1FB1" w:rsidRPr="003639B8">
        <w:t xml:space="preserve"> </w:t>
      </w:r>
      <w:r w:rsidR="00EB5C45" w:rsidRPr="003639B8">
        <w:t>dotace</w:t>
      </w:r>
      <w:r w:rsidR="00391ABA" w:rsidRPr="003639B8">
        <w:t xml:space="preserve"> </w:t>
      </w:r>
      <w:r w:rsidR="007A03F4" w:rsidRPr="003639B8">
        <w:t>z prostředků</w:t>
      </w:r>
      <w:r w:rsidR="00EB5C45" w:rsidRPr="003639B8">
        <w:t xml:space="preserve"> </w:t>
      </w:r>
      <w:r w:rsidR="00A91598" w:rsidRPr="003639B8">
        <w:t>rozpočtu KHK</w:t>
      </w:r>
      <w:r w:rsidR="00EB5C45" w:rsidRPr="003639B8">
        <w:t xml:space="preserve"> ve smyslu § </w:t>
      </w:r>
      <w:r w:rsidR="009C2EEE">
        <w:t>105</w:t>
      </w:r>
      <w:r w:rsidR="00EB5C45" w:rsidRPr="003639B8">
        <w:t xml:space="preserve"> ZSS </w:t>
      </w:r>
      <w:r w:rsidR="00E15F1E" w:rsidRPr="003639B8">
        <w:t>(dále jen „</w:t>
      </w:r>
      <w:r w:rsidR="00E15F1E" w:rsidRPr="003639B8">
        <w:rPr>
          <w:b/>
          <w:i/>
        </w:rPr>
        <w:t>dotace</w:t>
      </w:r>
      <w:r w:rsidR="00E15F1E" w:rsidRPr="003639B8">
        <w:t xml:space="preserve">“) </w:t>
      </w:r>
      <w:r w:rsidR="00C70C44" w:rsidRPr="003639B8">
        <w:t xml:space="preserve">na </w:t>
      </w:r>
      <w:r w:rsidR="00EB5C45" w:rsidRPr="003639B8">
        <w:t>financování běžných výdajů souvisejících s poskytováním sociální služby</w:t>
      </w:r>
      <w:r w:rsidR="006E37B4" w:rsidRPr="003639B8">
        <w:t xml:space="preserve"> (dále jen „</w:t>
      </w:r>
      <w:r w:rsidR="006E37B4" w:rsidRPr="003639B8">
        <w:rPr>
          <w:b/>
          <w:i/>
        </w:rPr>
        <w:t>služba</w:t>
      </w:r>
      <w:r w:rsidR="006E37B4" w:rsidRPr="003639B8">
        <w:t>“)</w:t>
      </w:r>
      <w:r w:rsidR="00970526" w:rsidRPr="003639B8">
        <w:t>.</w:t>
      </w:r>
    </w:p>
    <w:p w:rsidR="001F0A59" w:rsidRPr="003639B8" w:rsidRDefault="00474154">
      <w:pPr>
        <w:pStyle w:val="Nadpis2"/>
        <w:keepNext w:val="0"/>
        <w:keepLines w:val="0"/>
      </w:pPr>
      <w:r w:rsidRPr="003639B8">
        <w:t xml:space="preserve">Poskytování služby, na </w:t>
      </w:r>
      <w:r w:rsidR="00277520" w:rsidRPr="003639B8">
        <w:t xml:space="preserve">kterou </w:t>
      </w:r>
      <w:r w:rsidRPr="003639B8">
        <w:t>je dotace vázána, se řídí</w:t>
      </w:r>
      <w:r w:rsidR="00B8616F" w:rsidRPr="003639B8">
        <w:t xml:space="preserve"> pravidly stanovenými v </w:t>
      </w:r>
      <w:r w:rsidR="00EB5C45" w:rsidRPr="003639B8">
        <w:t>P</w:t>
      </w:r>
      <w:r w:rsidR="00E15F1E" w:rsidRPr="003639B8">
        <w:t xml:space="preserve">ověření, </w:t>
      </w:r>
      <w:r w:rsidR="00EB5C45" w:rsidRPr="003639B8">
        <w:t xml:space="preserve">zejména </w:t>
      </w:r>
      <w:r w:rsidR="00D46DBD" w:rsidRPr="003639B8">
        <w:t>v jeho P</w:t>
      </w:r>
      <w:r w:rsidR="00E15F1E" w:rsidRPr="003639B8">
        <w:t>říloze</w:t>
      </w:r>
      <w:r w:rsidR="00E3588A" w:rsidRPr="003639B8">
        <w:t xml:space="preserve"> č. </w:t>
      </w:r>
      <w:r w:rsidR="00EE64CC" w:rsidRPr="003639B8">
        <w:t>1</w:t>
      </w:r>
      <w:r w:rsidR="00EB5C45" w:rsidRPr="003639B8">
        <w:t xml:space="preserve"> –</w:t>
      </w:r>
      <w:r w:rsidR="00E15F1E" w:rsidRPr="003639B8">
        <w:t xml:space="preserve"> Rozsah služby</w:t>
      </w:r>
      <w:r w:rsidR="00EB5C45" w:rsidRPr="003639B8">
        <w:t>.</w:t>
      </w:r>
    </w:p>
    <w:p w:rsidR="001F0A59" w:rsidRPr="003639B8" w:rsidRDefault="00E15F1E">
      <w:pPr>
        <w:pStyle w:val="Nadpis2"/>
        <w:keepNext w:val="0"/>
        <w:keepLines w:val="0"/>
      </w:pPr>
      <w:r w:rsidRPr="003639B8">
        <w:t>Tato dotace tvoří část vyrovnávací platby stanovené v návaznosti na</w:t>
      </w:r>
      <w:r w:rsidR="00C14746" w:rsidRPr="003639B8">
        <w:t xml:space="preserve"> zařazení Příjemce do s</w:t>
      </w:r>
      <w:r w:rsidR="00B8616F" w:rsidRPr="003639B8">
        <w:t xml:space="preserve">ítě </w:t>
      </w:r>
      <w:r w:rsidR="00EE64CC" w:rsidRPr="003639B8">
        <w:t>KHK</w:t>
      </w:r>
      <w:r w:rsidRPr="003639B8">
        <w:t xml:space="preserve"> na základě Pověření. </w:t>
      </w:r>
      <w:r w:rsidR="006E37B4" w:rsidRPr="003639B8">
        <w:t xml:space="preserve">Konkrétní výpočet vyrovnávací platby za službu je stanoven v Systému řízení sítě – modul Vyrovnávací platba. </w:t>
      </w:r>
    </w:p>
    <w:p w:rsidR="001F0A59" w:rsidRPr="003639B8" w:rsidRDefault="008F148E">
      <w:pPr>
        <w:pStyle w:val="Nadpis2"/>
        <w:keepNext w:val="0"/>
        <w:keepLines w:val="0"/>
      </w:pPr>
      <w:r w:rsidRPr="003639B8"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:rsidR="001F0A59" w:rsidRPr="003639B8" w:rsidRDefault="001F0A59">
      <w:pPr>
        <w:rPr>
          <w:rFonts w:asciiTheme="minorHAnsi" w:hAnsiTheme="minorHAnsi"/>
        </w:rPr>
      </w:pPr>
    </w:p>
    <w:p w:rsidR="001F0A59" w:rsidRPr="003639B8" w:rsidRDefault="00B61DA2">
      <w:pPr>
        <w:pStyle w:val="Nadpis1"/>
        <w:keepNext w:val="0"/>
        <w:rPr>
          <w:rFonts w:asciiTheme="minorHAnsi" w:hAnsiTheme="minorHAnsi"/>
        </w:rPr>
      </w:pPr>
      <w:r w:rsidRPr="003639B8">
        <w:rPr>
          <w:rFonts w:asciiTheme="minorHAnsi" w:hAnsiTheme="minorHAnsi"/>
        </w:rPr>
        <w:t xml:space="preserve">Účel dotace </w:t>
      </w:r>
    </w:p>
    <w:p w:rsidR="001F0A59" w:rsidRPr="003639B8" w:rsidRDefault="00581E3F">
      <w:pPr>
        <w:pStyle w:val="Nadpis2"/>
        <w:keepNext w:val="0"/>
        <w:keepLines w:val="0"/>
      </w:pPr>
      <w:r w:rsidRPr="003639B8">
        <w:t xml:space="preserve">Účelem dotace </w:t>
      </w:r>
      <w:r w:rsidR="00EC6F7C" w:rsidRPr="003639B8">
        <w:t>je finanční podpora</w:t>
      </w:r>
      <w:r w:rsidR="00A11E8E" w:rsidRPr="003639B8">
        <w:t xml:space="preserve"> Příjemce</w:t>
      </w:r>
      <w:r w:rsidR="00EC6F7C" w:rsidRPr="003639B8">
        <w:t xml:space="preserve"> P</w:t>
      </w:r>
      <w:r w:rsidRPr="003639B8">
        <w:t>oskytovatele</w:t>
      </w:r>
      <w:r w:rsidR="00A11E8E" w:rsidRPr="003639B8">
        <w:t>m</w:t>
      </w:r>
      <w:r w:rsidRPr="003639B8">
        <w:t xml:space="preserve"> ve formě vyrovnávací platby za závazek veřejné služby poskytované Příjemcem. Poskytnutí dotace je výhradně </w:t>
      </w:r>
      <w:r w:rsidR="00C32F47" w:rsidRPr="003639B8">
        <w:t>vázáno na provoz Příjemce</w:t>
      </w:r>
      <w:r w:rsidRPr="003639B8">
        <w:t>.</w:t>
      </w:r>
    </w:p>
    <w:p w:rsidR="001F0A59" w:rsidRPr="003639B8" w:rsidRDefault="0091049F">
      <w:pPr>
        <w:pStyle w:val="Nadpis2"/>
        <w:keepNext w:val="0"/>
        <w:keepLines w:val="0"/>
      </w:pPr>
      <w:r w:rsidRPr="003639B8">
        <w:t xml:space="preserve">Dotace je poskytována v souladu se ZSS, zákonem č. 129/2000 Sb., o krajích, </w:t>
      </w:r>
      <w:r w:rsidR="00644AAB" w:rsidRPr="003639B8">
        <w:t>ve znění pozdějších předpisů</w:t>
      </w:r>
      <w:r w:rsidR="00277520" w:rsidRPr="003639B8">
        <w:t xml:space="preserve"> (dále jen </w:t>
      </w:r>
      <w:r w:rsidR="00D31983" w:rsidRPr="003639B8">
        <w:rPr>
          <w:b/>
          <w:i/>
        </w:rPr>
        <w:t>„zákon o krajích“</w:t>
      </w:r>
      <w:r w:rsidR="00277520" w:rsidRPr="003639B8">
        <w:t>)</w:t>
      </w:r>
      <w:r w:rsidRPr="003639B8">
        <w:t xml:space="preserve"> a s</w:t>
      </w:r>
      <w:r w:rsidR="00277520" w:rsidRPr="003639B8">
        <w:t xml:space="preserve"> rozpočtovými pravidly.</w:t>
      </w:r>
    </w:p>
    <w:p w:rsidR="001F0A59" w:rsidRPr="003639B8" w:rsidRDefault="0093550B">
      <w:pPr>
        <w:pStyle w:val="Nadpis2"/>
        <w:keepNext w:val="0"/>
        <w:keepLines w:val="0"/>
      </w:pPr>
      <w:r w:rsidRPr="003639B8">
        <w:t xml:space="preserve">Dotace se neposkytuje na zajištění fakultativních činností dle § 35 odst. 4 </w:t>
      </w:r>
      <w:r w:rsidR="00B8616F" w:rsidRPr="003639B8">
        <w:t>ZSS</w:t>
      </w:r>
      <w:r w:rsidRPr="003639B8">
        <w:t>.</w:t>
      </w:r>
    </w:p>
    <w:p w:rsidR="001F0A59" w:rsidRPr="003639B8" w:rsidRDefault="001F0A59">
      <w:pPr>
        <w:rPr>
          <w:rFonts w:asciiTheme="minorHAnsi" w:hAnsiTheme="minorHAnsi"/>
        </w:rPr>
      </w:pPr>
    </w:p>
    <w:p w:rsidR="001F0A59" w:rsidRPr="003639B8" w:rsidRDefault="009E6D28">
      <w:pPr>
        <w:pStyle w:val="Nadpis1"/>
        <w:keepNext w:val="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Výše a způsob poskytnutí dotace</w:t>
      </w:r>
    </w:p>
    <w:p w:rsidR="001F0A59" w:rsidRPr="003639B8" w:rsidRDefault="00B61DA2">
      <w:pPr>
        <w:pStyle w:val="Nadpis2"/>
        <w:keepNext w:val="0"/>
        <w:keepLines w:val="0"/>
      </w:pPr>
      <w:r w:rsidRPr="003639B8">
        <w:t xml:space="preserve">Poskytovatel </w:t>
      </w:r>
      <w:r w:rsidR="005277D8" w:rsidRPr="003639B8">
        <w:t>poskytuje Příjemci na základě této</w:t>
      </w:r>
      <w:r w:rsidR="00A510DB" w:rsidRPr="003639B8">
        <w:t xml:space="preserve"> S</w:t>
      </w:r>
      <w:r w:rsidR="005277D8" w:rsidRPr="003639B8">
        <w:t>mlouvy</w:t>
      </w:r>
      <w:r w:rsidRPr="003639B8">
        <w:t xml:space="preserve"> dotaci ve výši </w:t>
      </w:r>
      <w:r w:rsidR="003A2305" w:rsidRPr="003639B8">
        <w:t>xx</w:t>
      </w:r>
      <w:r w:rsidR="00A11E8E" w:rsidRPr="003639B8">
        <w:t xml:space="preserve"> (xx)</w:t>
      </w:r>
      <w:r w:rsidR="003A2305" w:rsidRPr="003639B8">
        <w:t xml:space="preserve"> Kč</w:t>
      </w:r>
      <w:r w:rsidR="00684078" w:rsidRPr="003639B8">
        <w:t>, jež</w:t>
      </w:r>
      <w:r w:rsidRPr="003639B8">
        <w:t xml:space="preserve"> </w:t>
      </w:r>
      <w:r w:rsidR="00143210" w:rsidRPr="003639B8">
        <w:t xml:space="preserve">je </w:t>
      </w:r>
      <w:r w:rsidR="00642436" w:rsidRPr="003639B8">
        <w:t>součástí</w:t>
      </w:r>
      <w:r w:rsidRPr="003639B8">
        <w:t xml:space="preserve"> vyrovnávací platby</w:t>
      </w:r>
      <w:r w:rsidR="00143210" w:rsidRPr="003639B8">
        <w:t>,</w:t>
      </w:r>
      <w:r w:rsidRPr="003639B8">
        <w:t xml:space="preserve"> a Příjemce tuto dotaci přijímá</w:t>
      </w:r>
      <w:r w:rsidR="00064A5E" w:rsidRPr="003639B8">
        <w:rPr>
          <w:color w:val="1F497D"/>
        </w:rPr>
        <w:t>.</w:t>
      </w:r>
    </w:p>
    <w:p w:rsidR="001F0A59" w:rsidRPr="003639B8" w:rsidRDefault="00B61DA2">
      <w:pPr>
        <w:pStyle w:val="Nadpis2"/>
        <w:keepNext w:val="0"/>
        <w:keepLines w:val="0"/>
      </w:pPr>
      <w:r w:rsidRPr="003639B8">
        <w:t xml:space="preserve">Poskytovatel se zavazuje výši dotace </w:t>
      </w:r>
      <w:r w:rsidR="003A2305" w:rsidRPr="003639B8">
        <w:t>stanovenou v odst. 1 tohoto</w:t>
      </w:r>
      <w:r w:rsidRPr="003639B8">
        <w:t xml:space="preserve"> článku Smlouvy poukázat </w:t>
      </w:r>
      <w:r w:rsidR="00391ABA" w:rsidRPr="003639B8">
        <w:t>bankovním převodem na účet P</w:t>
      </w:r>
      <w:r w:rsidRPr="003639B8">
        <w:t>říjemce číslo xx vedený u xx</w:t>
      </w:r>
      <w:r w:rsidR="00456335" w:rsidRPr="003639B8">
        <w:t xml:space="preserve"> </w:t>
      </w:r>
      <w:r w:rsidR="00474154" w:rsidRPr="003639B8">
        <w:t>do 30</w:t>
      </w:r>
      <w:r w:rsidR="00644AAB" w:rsidRPr="003639B8">
        <w:t xml:space="preserve"> (třiceti)</w:t>
      </w:r>
      <w:r w:rsidR="00474154" w:rsidRPr="003639B8">
        <w:t xml:space="preserve"> dnů od</w:t>
      </w:r>
      <w:r w:rsidR="00064A5E" w:rsidRPr="003639B8">
        <w:t xml:space="preserve"> podpisu </w:t>
      </w:r>
      <w:r w:rsidR="00277520" w:rsidRPr="003639B8">
        <w:t>Smlouvy</w:t>
      </w:r>
      <w:r w:rsidR="00064A5E" w:rsidRPr="003639B8">
        <w:t xml:space="preserve">. </w:t>
      </w:r>
    </w:p>
    <w:p w:rsidR="00A11E8E" w:rsidRPr="003639B8" w:rsidRDefault="00A11E8E">
      <w:pPr>
        <w:spacing w:before="0" w:after="0" w:line="240" w:lineRule="auto"/>
        <w:jc w:val="left"/>
        <w:rPr>
          <w:rFonts w:asciiTheme="minorHAnsi" w:hAnsiTheme="minorHAnsi"/>
        </w:rPr>
      </w:pPr>
      <w:r w:rsidRPr="003639B8">
        <w:rPr>
          <w:rFonts w:asciiTheme="minorHAnsi" w:hAnsiTheme="minorHAnsi"/>
        </w:rPr>
        <w:br w:type="page"/>
      </w:r>
    </w:p>
    <w:p w:rsidR="001F0A59" w:rsidRPr="003639B8" w:rsidRDefault="00B61DA2" w:rsidP="000E6C7E">
      <w:pPr>
        <w:pStyle w:val="Nadpis1"/>
        <w:keepNext w:val="0"/>
        <w:rPr>
          <w:rFonts w:asciiTheme="minorHAnsi" w:hAnsiTheme="minorHAnsi"/>
        </w:rPr>
      </w:pPr>
      <w:r w:rsidRPr="003639B8">
        <w:rPr>
          <w:rFonts w:asciiTheme="minorHAnsi" w:hAnsiTheme="minorHAnsi"/>
        </w:rPr>
        <w:lastRenderedPageBreak/>
        <w:t>Pověření</w:t>
      </w:r>
    </w:p>
    <w:p w:rsidR="001F0A59" w:rsidRPr="003639B8" w:rsidRDefault="00412152" w:rsidP="000E6C7E">
      <w:pPr>
        <w:pStyle w:val="Nadpis2"/>
        <w:keepNext w:val="0"/>
        <w:keepLines w:val="0"/>
      </w:pPr>
      <w:r w:rsidRPr="003639B8">
        <w:t>Tato Smlouva spolu s Pověřením (případně dalšími ti</w:t>
      </w:r>
      <w:r w:rsidR="00D16956" w:rsidRPr="003639B8">
        <w:t>tuly k doplňkovému financování s</w:t>
      </w:r>
      <w:r w:rsidRPr="003639B8">
        <w:t>lužby) představuje společný akt, jímž je Poskytovatel pověřen poskytováním služby obecného hospodářského zájmu ve smyslu článku 4 Rozhodnutí Komise o použití čl. 106 odst. 2 Smlouvy o fungování Evropské unie na státní podporu ve formě vyrovnávací platby za závazek veřejné služby udělené určitým podnikům pověřeným poskytováním služeb obecného hospodářského zájmu (2012/21/EU)</w:t>
      </w:r>
      <w:r w:rsidR="00D16956" w:rsidRPr="003639B8">
        <w:t>.</w:t>
      </w:r>
      <w:r w:rsidRPr="003639B8">
        <w:t xml:space="preserve"> </w:t>
      </w:r>
    </w:p>
    <w:p w:rsidR="001F0A59" w:rsidRPr="003639B8" w:rsidRDefault="00EC6F7C">
      <w:pPr>
        <w:pStyle w:val="Nadpis2"/>
        <w:keepNext w:val="0"/>
        <w:keepLines w:val="0"/>
      </w:pPr>
      <w:r w:rsidRPr="003639B8">
        <w:t>Příjemce je pověřen</w:t>
      </w:r>
      <w:r w:rsidR="005277D8" w:rsidRPr="003639B8">
        <w:t xml:space="preserve"> k poskytování služby stanovené v Pověření</w:t>
      </w:r>
      <w:r w:rsidR="00B61DA2" w:rsidRPr="003639B8">
        <w:t xml:space="preserve">, zahrnující zajištění činností pro občany </w:t>
      </w:r>
      <w:r w:rsidR="006331D5" w:rsidRPr="003639B8">
        <w:t>KHK</w:t>
      </w:r>
      <w:r w:rsidR="00B61DA2" w:rsidRPr="003639B8">
        <w:t xml:space="preserve"> stanovených v </w:t>
      </w:r>
      <w:r w:rsidR="00AC7FB4" w:rsidRPr="003639B8">
        <w:t>ZSS</w:t>
      </w:r>
      <w:r w:rsidR="00B61DA2" w:rsidRPr="003639B8">
        <w:t xml:space="preserve"> a ve vyhlášce Ministerstva práce a sociálních věcí č. 505/2006 Sb.,</w:t>
      </w:r>
      <w:r w:rsidR="003C209A" w:rsidRPr="003639B8">
        <w:t xml:space="preserve"> </w:t>
      </w:r>
      <w:r w:rsidR="00B61DA2" w:rsidRPr="003639B8">
        <w:t xml:space="preserve">kterou se provádějí některá ustanovení zákona o </w:t>
      </w:r>
      <w:r w:rsidRPr="003639B8">
        <w:t xml:space="preserve">sociálních službách, </w:t>
      </w:r>
      <w:r w:rsidR="00BB62B1" w:rsidRPr="003639B8">
        <w:t>ve znění pozdějších předpisů</w:t>
      </w:r>
      <w:r w:rsidR="00B61DA2" w:rsidRPr="003639B8">
        <w:t>, pro tuto sociální službu.</w:t>
      </w:r>
    </w:p>
    <w:p w:rsidR="001F0A59" w:rsidRPr="003639B8" w:rsidRDefault="003C0F2F">
      <w:pPr>
        <w:pStyle w:val="Nadpis2"/>
        <w:keepNext w:val="0"/>
        <w:keepLines w:val="0"/>
      </w:pPr>
      <w:r w:rsidRPr="003639B8">
        <w:t xml:space="preserve">Příjemce </w:t>
      </w:r>
      <w:r w:rsidR="00644AAB" w:rsidRPr="003639B8">
        <w:t xml:space="preserve">Pověření </w:t>
      </w:r>
      <w:r w:rsidRPr="003639B8">
        <w:t>přijal a zavázal</w:t>
      </w:r>
      <w:r w:rsidR="00B61DA2" w:rsidRPr="003639B8">
        <w:t xml:space="preserve"> se, že bude činnosti v něm stanovené realizovat na svou vlastní zodpovědnost, v maximální možné kvalitě, a v souladu s právn</w:t>
      </w:r>
      <w:r w:rsidR="00C1126F" w:rsidRPr="003639B8">
        <w:t>ími předpisy a podmínkami této S</w:t>
      </w:r>
      <w:r w:rsidR="00B61DA2" w:rsidRPr="003639B8">
        <w:t>mlouvy.</w:t>
      </w:r>
    </w:p>
    <w:p w:rsidR="001F0A59" w:rsidRPr="003639B8" w:rsidRDefault="00642436">
      <w:pPr>
        <w:pStyle w:val="Nadpis2"/>
        <w:keepNext w:val="0"/>
        <w:keepLines w:val="0"/>
      </w:pPr>
      <w:r w:rsidRPr="003639B8">
        <w:t>Toto P</w:t>
      </w:r>
      <w:r w:rsidR="00C1126F" w:rsidRPr="003639B8">
        <w:t>ověření je stanoveno</w:t>
      </w:r>
      <w:r w:rsidR="00B61DA2" w:rsidRPr="003639B8">
        <w:t xml:space="preserve"> na dobu určitou, konkrét</w:t>
      </w:r>
      <w:r w:rsidR="00456335" w:rsidRPr="003639B8">
        <w:t xml:space="preserve">ně od </w:t>
      </w:r>
      <w:r w:rsidR="0091049F" w:rsidRPr="003639B8">
        <w:t xml:space="preserve">1. </w:t>
      </w:r>
      <w:r w:rsidR="00BB62B1" w:rsidRPr="003639B8">
        <w:t>ledna</w:t>
      </w:r>
      <w:r w:rsidR="0091049F" w:rsidRPr="003639B8">
        <w:t xml:space="preserve"> 2015 do 31. </w:t>
      </w:r>
      <w:r w:rsidR="00BB62B1" w:rsidRPr="003639B8">
        <w:t>prosince</w:t>
      </w:r>
      <w:r w:rsidR="0091049F" w:rsidRPr="003639B8">
        <w:t xml:space="preserve"> 2016.</w:t>
      </w:r>
    </w:p>
    <w:p w:rsidR="001F0A59" w:rsidRPr="003639B8" w:rsidRDefault="001F0A59">
      <w:pPr>
        <w:rPr>
          <w:rFonts w:asciiTheme="minorHAnsi" w:hAnsiTheme="minorHAnsi"/>
        </w:rPr>
      </w:pPr>
    </w:p>
    <w:p w:rsidR="001F0A59" w:rsidRPr="003639B8" w:rsidRDefault="00EF0AE4">
      <w:pPr>
        <w:pStyle w:val="Nadpis1"/>
        <w:keepNext w:val="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Vyúčtování dotace a jiné povinnosti Příjemce</w:t>
      </w:r>
    </w:p>
    <w:p w:rsidR="001F0A59" w:rsidRPr="003639B8" w:rsidRDefault="0093550B">
      <w:pPr>
        <w:pStyle w:val="Nadpis2"/>
        <w:keepNext w:val="0"/>
        <w:keepLines w:val="0"/>
      </w:pPr>
      <w:r w:rsidRPr="003639B8">
        <w:t xml:space="preserve">Příjemce je povinen využít dotaci </w:t>
      </w:r>
      <w:r w:rsidR="00642436" w:rsidRPr="003639B8">
        <w:t>v souladu s pravidly účelnosti, hospodárnosti a efektivnosti při vynakládání veřejných prostředků,</w:t>
      </w:r>
      <w:r w:rsidRPr="003639B8">
        <w:t xml:space="preserve"> a</w:t>
      </w:r>
      <w:r w:rsidR="00642436" w:rsidRPr="003639B8">
        <w:t xml:space="preserve"> to</w:t>
      </w:r>
      <w:r w:rsidRPr="003639B8">
        <w:t xml:space="preserve"> výh</w:t>
      </w:r>
      <w:r w:rsidR="00C1126F" w:rsidRPr="003639B8">
        <w:t xml:space="preserve">radně k účelu </w:t>
      </w:r>
      <w:r w:rsidR="00642436" w:rsidRPr="003639B8">
        <w:t>a za podmínek uvedených</w:t>
      </w:r>
      <w:r w:rsidR="00C1126F" w:rsidRPr="003639B8">
        <w:t xml:space="preserve"> v této S</w:t>
      </w:r>
      <w:r w:rsidRPr="003639B8">
        <w:t>mlouvě.</w:t>
      </w:r>
    </w:p>
    <w:p w:rsidR="001F0A59" w:rsidRPr="003639B8" w:rsidRDefault="00923DD2">
      <w:pPr>
        <w:pStyle w:val="Nadpis2"/>
        <w:keepNext w:val="0"/>
        <w:keepLines w:val="0"/>
      </w:pPr>
      <w:r w:rsidRPr="003639B8">
        <w:t xml:space="preserve">Příjemce je povinen </w:t>
      </w:r>
      <w:r w:rsidR="00C67DEC" w:rsidRPr="003639B8">
        <w:t>vést účetnictví v souladu se zákonem č. 563/1991 Sb.</w:t>
      </w:r>
      <w:r w:rsidR="00812B97" w:rsidRPr="003639B8">
        <w:t>,</w:t>
      </w:r>
      <w:r w:rsidR="00C67DEC" w:rsidRPr="003639B8">
        <w:t xml:space="preserve"> o účetnictví</w:t>
      </w:r>
      <w:r w:rsidR="00812B97" w:rsidRPr="003639B8">
        <w:t xml:space="preserve">, ve znění pozdějších předpisů (dále také jen </w:t>
      </w:r>
      <w:r w:rsidR="00812B97" w:rsidRPr="003639B8">
        <w:rPr>
          <w:i/>
        </w:rPr>
        <w:t>„</w:t>
      </w:r>
      <w:r w:rsidR="00812B97" w:rsidRPr="003639B8">
        <w:rPr>
          <w:b/>
          <w:i/>
        </w:rPr>
        <w:t>ZÚ</w:t>
      </w:r>
      <w:r w:rsidR="00812B97" w:rsidRPr="003639B8">
        <w:rPr>
          <w:i/>
        </w:rPr>
        <w:t>“</w:t>
      </w:r>
      <w:r w:rsidR="00812B97" w:rsidRPr="003639B8">
        <w:t>)</w:t>
      </w:r>
      <w:r w:rsidR="00C67DEC" w:rsidRPr="003639B8">
        <w:t>. P</w:t>
      </w:r>
      <w:r w:rsidR="00847B2B" w:rsidRPr="003639B8">
        <w:t>říjmy a výdaje spojené s poskytováním služby uvedené v Pověření vykazuje Příjemce ve svém účetnictví odděleně</w:t>
      </w:r>
      <w:r w:rsidRPr="003639B8">
        <w:t>.</w:t>
      </w:r>
      <w:r w:rsidR="00347C76" w:rsidRPr="003639B8">
        <w:t xml:space="preserve"> </w:t>
      </w:r>
      <w:r w:rsidR="007F41B7" w:rsidRPr="003639B8">
        <w:t xml:space="preserve">Originály účetních dokladů využitých pro vyúčtování dotace </w:t>
      </w:r>
      <w:r w:rsidR="00DD1B43" w:rsidRPr="003639B8">
        <w:t xml:space="preserve">Příjemce </w:t>
      </w:r>
      <w:r w:rsidR="007F41B7" w:rsidRPr="003639B8">
        <w:t xml:space="preserve">viditelně označí symbolem čísla </w:t>
      </w:r>
      <w:r w:rsidR="00DD1B43" w:rsidRPr="003639B8">
        <w:t>S</w:t>
      </w:r>
      <w:r w:rsidR="007F41B7" w:rsidRPr="003639B8">
        <w:t xml:space="preserve">mlouvy. Čerpání prostředků poskytnuté dotace bude řádně vedeno a odděleně sledováno v účetnictví </w:t>
      </w:r>
      <w:r w:rsidR="00347C76" w:rsidRPr="003639B8">
        <w:t xml:space="preserve">Příjemce </w:t>
      </w:r>
      <w:r w:rsidR="007F41B7" w:rsidRPr="003639B8">
        <w:t xml:space="preserve">v souladu se </w:t>
      </w:r>
      <w:r w:rsidR="00812B97" w:rsidRPr="003639B8">
        <w:t xml:space="preserve">ZÚ. </w:t>
      </w:r>
      <w:r w:rsidR="00E570DA" w:rsidRPr="003639B8">
        <w:t xml:space="preserve"> </w:t>
      </w:r>
    </w:p>
    <w:p w:rsidR="001F0A59" w:rsidRPr="003639B8" w:rsidRDefault="00EF0AE4">
      <w:pPr>
        <w:pStyle w:val="Nadpis2"/>
        <w:keepNext w:val="0"/>
        <w:keepLines w:val="0"/>
      </w:pPr>
      <w:r w:rsidRPr="003639B8">
        <w:t xml:space="preserve">Dotace přidělená na rok </w:t>
      </w:r>
      <w:r w:rsidR="0091049F" w:rsidRPr="003639B8">
        <w:t>2015</w:t>
      </w:r>
      <w:r w:rsidRPr="003639B8">
        <w:t xml:space="preserve"> m</w:t>
      </w:r>
      <w:r w:rsidR="00A927F1" w:rsidRPr="003639B8">
        <w:t>usí být řádně vyúčtována k </w:t>
      </w:r>
      <w:r w:rsidR="0091049F" w:rsidRPr="003639B8">
        <w:t>31. prosinci 2015.</w:t>
      </w:r>
    </w:p>
    <w:p w:rsidR="001F0A59" w:rsidRPr="003639B8" w:rsidRDefault="0091049F">
      <w:pPr>
        <w:pStyle w:val="Nadpis2"/>
        <w:keepNext w:val="0"/>
        <w:keepLines w:val="0"/>
      </w:pPr>
      <w:r w:rsidRPr="003639B8">
        <w:t>Do 15. ledna 2016</w:t>
      </w:r>
      <w:r w:rsidR="00A927F1" w:rsidRPr="003639B8">
        <w:t xml:space="preserve"> </w:t>
      </w:r>
      <w:r w:rsidR="00EF0AE4" w:rsidRPr="003639B8">
        <w:t>(rozhodující je datum razítka podací pošty nebo razítka poda</w:t>
      </w:r>
      <w:r w:rsidR="00D31983" w:rsidRPr="003639B8">
        <w:t>t</w:t>
      </w:r>
      <w:r w:rsidR="00EF0AE4" w:rsidRPr="003639B8">
        <w:t xml:space="preserve">elny Krajského úřadu </w:t>
      </w:r>
      <w:r w:rsidR="004C343E" w:rsidRPr="003639B8">
        <w:t>KHK</w:t>
      </w:r>
      <w:r w:rsidR="00216712" w:rsidRPr="003639B8">
        <w:t>) zašle P</w:t>
      </w:r>
      <w:r w:rsidR="00EF0AE4" w:rsidRPr="003639B8">
        <w:t>říjemc</w:t>
      </w:r>
      <w:r w:rsidR="00216712" w:rsidRPr="003639B8">
        <w:t xml:space="preserve">e </w:t>
      </w:r>
      <w:r w:rsidR="00EF0AE4" w:rsidRPr="003639B8">
        <w:t xml:space="preserve">zprávu o dočerpání dotace, popř. avízo o vrácení dotace nebo její části písemně na </w:t>
      </w:r>
      <w:r w:rsidR="00A927F1" w:rsidRPr="003639B8">
        <w:t>Odbor</w:t>
      </w:r>
      <w:r w:rsidR="00EF0AE4" w:rsidRPr="003639B8">
        <w:t xml:space="preserve">, dokument podepíše statutární zástupce </w:t>
      </w:r>
      <w:r w:rsidR="004C343E" w:rsidRPr="003639B8">
        <w:t>Příjemce</w:t>
      </w:r>
      <w:r w:rsidR="00EF0AE4" w:rsidRPr="003639B8">
        <w:t>.</w:t>
      </w:r>
    </w:p>
    <w:p w:rsidR="001F0A59" w:rsidRPr="003639B8" w:rsidRDefault="00EF0AE4">
      <w:pPr>
        <w:pStyle w:val="Nadpis2"/>
        <w:keepNext w:val="0"/>
        <w:keepLines w:val="0"/>
      </w:pPr>
      <w:r w:rsidRPr="003639B8">
        <w:t>Případnou vratku</w:t>
      </w:r>
      <w:r w:rsidR="00216712" w:rsidRPr="003639B8">
        <w:t xml:space="preserve"> nespotřebované dotace provede P</w:t>
      </w:r>
      <w:r w:rsidR="00A927F1" w:rsidRPr="003639B8">
        <w:t xml:space="preserve">říjemce na účet Poskytovatele </w:t>
      </w:r>
      <w:r w:rsidR="0091049F" w:rsidRPr="003639B8">
        <w:t>dotace do 31. ledna 2016</w:t>
      </w:r>
      <w:r w:rsidRPr="003639B8">
        <w:t xml:space="preserve"> (rozhodující je okamžik připsání prostředků na </w:t>
      </w:r>
      <w:r w:rsidR="003465E4" w:rsidRPr="003639B8">
        <w:t xml:space="preserve">bankovní </w:t>
      </w:r>
      <w:r w:rsidRPr="003639B8">
        <w:t xml:space="preserve">účet </w:t>
      </w:r>
      <w:r w:rsidR="004C343E" w:rsidRPr="003639B8">
        <w:t>KHK</w:t>
      </w:r>
      <w:r w:rsidRPr="003639B8">
        <w:t>)</w:t>
      </w:r>
      <w:r w:rsidR="006F17AC" w:rsidRPr="003639B8">
        <w:t>.</w:t>
      </w:r>
    </w:p>
    <w:p w:rsidR="001F0A59" w:rsidRPr="003639B8" w:rsidRDefault="00110507">
      <w:pPr>
        <w:pStyle w:val="Nadpis2"/>
        <w:keepNext w:val="0"/>
        <w:keepLines w:val="0"/>
      </w:pPr>
      <w:r w:rsidRPr="003639B8">
        <w:t xml:space="preserve">Příjemce je povinen </w:t>
      </w:r>
      <w:r w:rsidR="0091049F" w:rsidRPr="003639B8">
        <w:t>do 5. února 2016</w:t>
      </w:r>
      <w:r w:rsidRPr="003639B8">
        <w:t xml:space="preserve"> (rozhodující je datum razítka podací pošty nebo razítka podatelny Krajské</w:t>
      </w:r>
      <w:r w:rsidR="00C4775A" w:rsidRPr="003639B8">
        <w:t xml:space="preserve">ho úřadu KHK) předložit vyúčtování dotace v tištěné podobě na předepsaném formuláři Odboru. Formulář pro vyúčtování bude zveřejněn na webových stránkách </w:t>
      </w:r>
      <w:r w:rsidR="004C343E" w:rsidRPr="003639B8">
        <w:t>KHK</w:t>
      </w:r>
      <w:r w:rsidR="00C4775A" w:rsidRPr="003639B8">
        <w:t xml:space="preserve"> (www.kr-kralovehradecky.cz/ Krajský úřad / Sociální oblast /Dotace v sociální oblasti 2015)</w:t>
      </w:r>
      <w:r w:rsidRPr="003639B8">
        <w:t>.</w:t>
      </w:r>
    </w:p>
    <w:p w:rsidR="001F0A59" w:rsidRPr="003639B8" w:rsidRDefault="00C4775A">
      <w:pPr>
        <w:pStyle w:val="Nadpis2"/>
        <w:keepNext w:val="0"/>
        <w:keepLines w:val="0"/>
      </w:pPr>
      <w:r w:rsidRPr="003639B8">
        <w:lastRenderedPageBreak/>
        <w:t>Příjemce je povinen k vyplněnému formuláři vyúčtování přiložit soupis</w:t>
      </w:r>
      <w:r w:rsidR="00110507" w:rsidRPr="003639B8">
        <w:t xml:space="preserve"> všech prvotních účetních dokladů, které se vážou k čerpání dotace, ve kterém bude uvedeno minimálně číslo dokladu, účet zaúčtování, popis nákladu a finanční částka. Všechny dokumenty vyúčtování budou podepsány statutárním zástupcem </w:t>
      </w:r>
      <w:r w:rsidR="004C343E" w:rsidRPr="003639B8">
        <w:t>Příjemce</w:t>
      </w:r>
      <w:r w:rsidR="00110507" w:rsidRPr="003639B8">
        <w:t>.</w:t>
      </w:r>
    </w:p>
    <w:p w:rsidR="001F0A59" w:rsidRPr="003639B8" w:rsidRDefault="00110507">
      <w:pPr>
        <w:pStyle w:val="Nadpis2"/>
        <w:keepNext w:val="0"/>
        <w:keepLines w:val="0"/>
      </w:pPr>
      <w:r w:rsidRPr="003639B8">
        <w:t xml:space="preserve">Nedílnou součástí vyúčtování je čestné prohlášení o bezdlužnosti </w:t>
      </w:r>
      <w:r w:rsidR="00944276" w:rsidRPr="003639B8">
        <w:t>vůči finančnímu úřadu, České</w:t>
      </w:r>
      <w:r w:rsidR="00A927F1" w:rsidRPr="003639B8">
        <w:t xml:space="preserve"> s</w:t>
      </w:r>
      <w:r w:rsidRPr="003639B8">
        <w:t xml:space="preserve">právě sociálního zabezpečení a zdravotním pojišťovnám, u kterých byli v průběhu roku evidováni zaměstnanci </w:t>
      </w:r>
      <w:r w:rsidR="004C343E" w:rsidRPr="003639B8">
        <w:t>Příjemce</w:t>
      </w:r>
      <w:r w:rsidRPr="003639B8">
        <w:t>.</w:t>
      </w:r>
    </w:p>
    <w:p w:rsidR="001F0A59" w:rsidRPr="003639B8" w:rsidRDefault="00EF0AE4">
      <w:pPr>
        <w:pStyle w:val="Nadpis2"/>
        <w:keepNext w:val="0"/>
        <w:keepLines w:val="0"/>
      </w:pPr>
      <w:r w:rsidRPr="003639B8">
        <w:t xml:space="preserve">V případě, že bude realizace </w:t>
      </w:r>
      <w:r w:rsidR="00944276" w:rsidRPr="003639B8">
        <w:t xml:space="preserve">služby ukončena dříve </w:t>
      </w:r>
      <w:r w:rsidR="0091049F" w:rsidRPr="003639B8">
        <w:t>než 31. prosince 2015</w:t>
      </w:r>
      <w:r w:rsidRPr="003639B8">
        <w:t xml:space="preserve">, je </w:t>
      </w:r>
      <w:r w:rsidR="004C343E" w:rsidRPr="003639B8">
        <w:t xml:space="preserve">Příjemce </w:t>
      </w:r>
      <w:r w:rsidRPr="003639B8">
        <w:t>povinen předložit vyúčtování a navrátit nevyčerpané finanční prostředky z dotace do 30</w:t>
      </w:r>
      <w:r w:rsidR="008372EB" w:rsidRPr="003639B8">
        <w:t xml:space="preserve"> (třiceti)</w:t>
      </w:r>
      <w:r w:rsidRPr="003639B8">
        <w:t xml:space="preserve"> dnů po ukončení realizace služby. V takovém případě se finanční prostředky vracejí na bankovní účet Poskytovatele.</w:t>
      </w:r>
    </w:p>
    <w:p w:rsidR="001F0A59" w:rsidRPr="003639B8" w:rsidRDefault="00EF0AE4" w:rsidP="009A173E">
      <w:pPr>
        <w:pStyle w:val="Nadpis2"/>
        <w:keepNext w:val="0"/>
        <w:keepLines w:val="0"/>
        <w:spacing w:after="0"/>
      </w:pPr>
      <w:r w:rsidRPr="003639B8">
        <w:t>Příjemce je povinen neprodleně informovat Poskytovatele o všech změnách týkajících se:</w:t>
      </w:r>
    </w:p>
    <w:p w:rsidR="001F0A59" w:rsidRPr="003639B8" w:rsidRDefault="00944276" w:rsidP="009A173E">
      <w:pPr>
        <w:pStyle w:val="Nadpis2"/>
        <w:keepNext w:val="0"/>
        <w:keepLines w:val="0"/>
        <w:numPr>
          <w:ilvl w:val="0"/>
          <w:numId w:val="37"/>
        </w:numPr>
        <w:spacing w:before="0" w:after="0"/>
      </w:pPr>
      <w:r w:rsidRPr="003639B8">
        <w:t>kontaktních údajů</w:t>
      </w:r>
      <w:r w:rsidR="00EF0AE4" w:rsidRPr="003639B8">
        <w:t xml:space="preserve"> (změna kontaktní osoby, telefonického spojení, emailové adresy)</w:t>
      </w:r>
      <w:r w:rsidR="004C343E" w:rsidRPr="003639B8">
        <w:t>;</w:t>
      </w:r>
    </w:p>
    <w:p w:rsidR="001F0A59" w:rsidRPr="003639B8" w:rsidRDefault="00EF0AE4" w:rsidP="009A173E">
      <w:pPr>
        <w:pStyle w:val="Odstavecseseznamem"/>
        <w:numPr>
          <w:ilvl w:val="0"/>
          <w:numId w:val="37"/>
        </w:numPr>
        <w:spacing w:after="0" w:line="276" w:lineRule="auto"/>
        <w:jc w:val="both"/>
        <w:rPr>
          <w:color w:val="auto"/>
          <w:sz w:val="22"/>
          <w:szCs w:val="22"/>
          <w:lang w:val="cs-CZ"/>
        </w:rPr>
      </w:pPr>
      <w:r w:rsidRPr="003639B8">
        <w:rPr>
          <w:color w:val="auto"/>
          <w:sz w:val="22"/>
          <w:szCs w:val="22"/>
          <w:lang w:val="cs-CZ"/>
        </w:rPr>
        <w:t xml:space="preserve">rozpočtu </w:t>
      </w:r>
      <w:r w:rsidR="00944276" w:rsidRPr="003639B8">
        <w:rPr>
          <w:color w:val="auto"/>
          <w:sz w:val="22"/>
          <w:szCs w:val="22"/>
          <w:lang w:val="cs-CZ"/>
        </w:rPr>
        <w:t>služby a předpokládaného</w:t>
      </w:r>
      <w:r w:rsidRPr="003639B8">
        <w:rPr>
          <w:color w:val="auto"/>
          <w:sz w:val="22"/>
          <w:szCs w:val="22"/>
          <w:lang w:val="cs-CZ"/>
        </w:rPr>
        <w:t xml:space="preserve"> čerpání dotace</w:t>
      </w:r>
      <w:r w:rsidR="004C343E" w:rsidRPr="003639B8">
        <w:rPr>
          <w:color w:val="auto"/>
          <w:sz w:val="22"/>
          <w:szCs w:val="22"/>
          <w:lang w:val="cs-CZ"/>
        </w:rPr>
        <w:t>;</w:t>
      </w:r>
    </w:p>
    <w:p w:rsidR="001F0A59" w:rsidRPr="003639B8" w:rsidRDefault="00944276" w:rsidP="009A173E">
      <w:pPr>
        <w:pStyle w:val="Odstavecseseznamem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  <w:lang w:val="cs-CZ"/>
        </w:rPr>
      </w:pPr>
      <w:r w:rsidRPr="003639B8">
        <w:rPr>
          <w:color w:val="auto"/>
          <w:sz w:val="22"/>
          <w:szCs w:val="22"/>
          <w:lang w:val="cs-CZ"/>
        </w:rPr>
        <w:t>změny</w:t>
      </w:r>
      <w:r w:rsidR="00EF0AE4" w:rsidRPr="003639B8">
        <w:rPr>
          <w:color w:val="auto"/>
          <w:sz w:val="22"/>
          <w:szCs w:val="22"/>
          <w:lang w:val="cs-CZ"/>
        </w:rPr>
        <w:t xml:space="preserve"> (změna rozh</w:t>
      </w:r>
      <w:r w:rsidRPr="003639B8">
        <w:rPr>
          <w:color w:val="auto"/>
          <w:sz w:val="22"/>
          <w:szCs w:val="22"/>
          <w:lang w:val="cs-CZ"/>
        </w:rPr>
        <w:t>odnutí o registraci) či zrušení</w:t>
      </w:r>
      <w:r w:rsidR="00EF0AE4" w:rsidRPr="003639B8">
        <w:rPr>
          <w:color w:val="auto"/>
          <w:sz w:val="22"/>
          <w:szCs w:val="22"/>
          <w:lang w:val="cs-CZ"/>
        </w:rPr>
        <w:t xml:space="preserve"> registrace služby;</w:t>
      </w:r>
    </w:p>
    <w:p w:rsidR="001F0A59" w:rsidRPr="003639B8" w:rsidRDefault="00EF0AE4" w:rsidP="009A173E">
      <w:pPr>
        <w:pStyle w:val="Odstavecseseznamem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  <w:lang w:val="cs-CZ"/>
        </w:rPr>
      </w:pPr>
      <w:r w:rsidRPr="003639B8">
        <w:rPr>
          <w:color w:val="auto"/>
          <w:sz w:val="22"/>
          <w:szCs w:val="22"/>
          <w:lang w:val="cs-CZ"/>
        </w:rPr>
        <w:t>rozsahu poskytované služby oproti údajům stanoveným v Pověření, které mají trvalý charakter;</w:t>
      </w:r>
    </w:p>
    <w:p w:rsidR="001F0A59" w:rsidRPr="003639B8" w:rsidRDefault="00EF0AE4" w:rsidP="009A173E">
      <w:pPr>
        <w:pStyle w:val="Odstavecseseznamem"/>
        <w:numPr>
          <w:ilvl w:val="0"/>
          <w:numId w:val="37"/>
        </w:numPr>
        <w:spacing w:line="276" w:lineRule="auto"/>
        <w:jc w:val="both"/>
        <w:rPr>
          <w:color w:val="auto"/>
          <w:sz w:val="22"/>
          <w:szCs w:val="22"/>
          <w:lang w:val="cs-CZ"/>
        </w:rPr>
      </w:pPr>
      <w:r w:rsidRPr="003639B8">
        <w:rPr>
          <w:color w:val="auto"/>
          <w:sz w:val="22"/>
          <w:szCs w:val="22"/>
          <w:lang w:val="cs-CZ"/>
        </w:rPr>
        <w:t>bankovního účtu Příjemce</w:t>
      </w:r>
      <w:r w:rsidR="00482A9B">
        <w:rPr>
          <w:color w:val="auto"/>
          <w:sz w:val="22"/>
          <w:szCs w:val="22"/>
          <w:lang w:val="cs-CZ"/>
        </w:rPr>
        <w:t>.</w:t>
      </w:r>
    </w:p>
    <w:p w:rsidR="001F0A59" w:rsidRPr="003639B8" w:rsidRDefault="00914FD6">
      <w:pPr>
        <w:pStyle w:val="Nadpis2"/>
        <w:keepNext w:val="0"/>
        <w:keepLines w:val="0"/>
      </w:pPr>
      <w:r w:rsidRPr="003639B8">
        <w:t>Příjemce je povinen uchovávat veškeré dokumenty související s</w:t>
      </w:r>
      <w:r w:rsidR="00C67DEC" w:rsidRPr="003639B8">
        <w:t xml:space="preserve"> poskytováním služby a prokazující čerpání všech </w:t>
      </w:r>
      <w:r w:rsidR="003D2544" w:rsidRPr="003639B8">
        <w:t xml:space="preserve">peněžních </w:t>
      </w:r>
      <w:r w:rsidR="00C67DEC" w:rsidRPr="003639B8">
        <w:t>prostředků na realizaci služby po dobu 10</w:t>
      </w:r>
      <w:r w:rsidR="003D2544" w:rsidRPr="003639B8">
        <w:t xml:space="preserve"> (deset</w:t>
      </w:r>
      <w:r w:rsidR="009A173E" w:rsidRPr="003639B8">
        <w:t>i</w:t>
      </w:r>
      <w:r w:rsidR="003D2544" w:rsidRPr="003639B8">
        <w:t>)</w:t>
      </w:r>
      <w:r w:rsidR="00C67DEC" w:rsidRPr="003639B8">
        <w:t xml:space="preserve"> let od ukončení financování této služby způsobem, který je v souladu s platnými právními předpisy ČR</w:t>
      </w:r>
      <w:r w:rsidRPr="003639B8">
        <w:t>.</w:t>
      </w:r>
    </w:p>
    <w:p w:rsidR="001F0A59" w:rsidRPr="003639B8" w:rsidRDefault="00914FD6">
      <w:pPr>
        <w:pStyle w:val="Nadpis2"/>
        <w:keepNext w:val="0"/>
        <w:keepLines w:val="0"/>
      </w:pPr>
      <w:r w:rsidRPr="003639B8">
        <w:t xml:space="preserve">Příjemce je povinen umožnit pověřeným pracovníkům </w:t>
      </w:r>
      <w:r w:rsidR="006331D5" w:rsidRPr="003639B8">
        <w:t>KHK</w:t>
      </w:r>
      <w:r w:rsidRPr="003639B8">
        <w:t xml:space="preserve"> kontrolu čerpání a využití dotace, kontrolu kvality a rozsahu poskytované služby. V této souvislosti </w:t>
      </w:r>
      <w:r w:rsidR="000A25E8" w:rsidRPr="003639B8">
        <w:t xml:space="preserve">je </w:t>
      </w:r>
      <w:r w:rsidR="00690E53" w:rsidRPr="003639B8">
        <w:t>Příjemce</w:t>
      </w:r>
      <w:r w:rsidR="000A25E8" w:rsidRPr="003639B8">
        <w:t xml:space="preserve"> povinen zejména umožnit těmto pracovníkům nahlédnout do účetní evidence a záznamů o poskytované službě, popř. do prostor, kde je činnost či služba realizována.</w:t>
      </w:r>
      <w:r w:rsidR="000E7CED" w:rsidRPr="003639B8">
        <w:t xml:space="preserve"> Kontrola je prováděna v souladu </w:t>
      </w:r>
      <w:r w:rsidR="0091049F" w:rsidRPr="003639B8">
        <w:t>s</w:t>
      </w:r>
      <w:r w:rsidR="004A33F2" w:rsidRPr="003639B8">
        <w:t> </w:t>
      </w:r>
      <w:r w:rsidR="0091049F" w:rsidRPr="003639B8">
        <w:t>čl</w:t>
      </w:r>
      <w:r w:rsidR="004A33F2" w:rsidRPr="003639B8">
        <w:t>.</w:t>
      </w:r>
      <w:r w:rsidR="0091049F" w:rsidRPr="003639B8">
        <w:t xml:space="preserve"> 8</w:t>
      </w:r>
      <w:r w:rsidR="00CB394C" w:rsidRPr="003639B8">
        <w:t xml:space="preserve"> t</w:t>
      </w:r>
      <w:r w:rsidR="000E7CED" w:rsidRPr="003639B8">
        <w:t xml:space="preserve">éto Smlouvy a </w:t>
      </w:r>
      <w:r w:rsidR="0091049F" w:rsidRPr="003639B8">
        <w:t>čl</w:t>
      </w:r>
      <w:r w:rsidR="004A33F2" w:rsidRPr="003639B8">
        <w:t>.</w:t>
      </w:r>
      <w:r w:rsidR="0091049F" w:rsidRPr="003639B8">
        <w:t xml:space="preserve"> 4</w:t>
      </w:r>
      <w:r w:rsidR="000E7CED" w:rsidRPr="003639B8">
        <w:t xml:space="preserve"> Pověření</w:t>
      </w:r>
      <w:r w:rsidR="004C343E" w:rsidRPr="003639B8">
        <w:t>.</w:t>
      </w:r>
    </w:p>
    <w:p w:rsidR="001F0A59" w:rsidRPr="003639B8" w:rsidRDefault="000A25E8">
      <w:pPr>
        <w:pStyle w:val="Nadpis2"/>
        <w:keepNext w:val="0"/>
        <w:keepLines w:val="0"/>
      </w:pPr>
      <w:r w:rsidRPr="003639B8">
        <w:t>Příjemce je</w:t>
      </w:r>
      <w:r w:rsidR="00944276" w:rsidRPr="003639B8">
        <w:t xml:space="preserve"> povinen při poskytování služby</w:t>
      </w:r>
      <w:r w:rsidRPr="003639B8">
        <w:t xml:space="preserve"> prosazovat princip rovných příležitostí, rovnost mužů a žen a princip nediskriminace, zejména s ohledem na osoby se zdravotním postižením.</w:t>
      </w:r>
    </w:p>
    <w:p w:rsidR="000F52C2" w:rsidRPr="003639B8" w:rsidRDefault="006B297B">
      <w:pPr>
        <w:pStyle w:val="Nadpis2"/>
      </w:pPr>
      <w:r w:rsidRPr="003639B8">
        <w:t xml:space="preserve">Příjemce je povinen </w:t>
      </w:r>
      <w:r w:rsidR="004B6BD4" w:rsidRPr="003639B8">
        <w:t>bezodkladně oznámit Poskytovateli přeměnu podle zvláštního právního předpisu či vstup do likvidace.</w:t>
      </w:r>
    </w:p>
    <w:p w:rsidR="001F0A59" w:rsidRPr="003639B8" w:rsidRDefault="000E7CED">
      <w:pPr>
        <w:pStyle w:val="Nadpis2"/>
        <w:keepNext w:val="0"/>
        <w:keepLines w:val="0"/>
      </w:pPr>
      <w:r w:rsidRPr="003639B8">
        <w:t>Příjemce je rovněž povinen plnit všechny zákonné povinnosti a dále ty, které pro něj vyplývají z Pověření.</w:t>
      </w:r>
      <w:r w:rsidR="00217DD1" w:rsidRPr="003639B8">
        <w:t xml:space="preserve">  </w:t>
      </w:r>
    </w:p>
    <w:p w:rsidR="001F0A59" w:rsidRPr="003639B8" w:rsidRDefault="001F0A59">
      <w:pPr>
        <w:rPr>
          <w:rFonts w:asciiTheme="minorHAnsi" w:hAnsiTheme="minorHAnsi"/>
        </w:rPr>
      </w:pPr>
    </w:p>
    <w:p w:rsidR="009A173E" w:rsidRPr="003639B8" w:rsidRDefault="009A173E">
      <w:pPr>
        <w:spacing w:before="0" w:after="0" w:line="240" w:lineRule="auto"/>
        <w:jc w:val="left"/>
        <w:rPr>
          <w:rFonts w:asciiTheme="minorHAnsi" w:hAnsiTheme="minorHAnsi" w:cs="Arial"/>
          <w:b/>
          <w:sz w:val="26"/>
          <w:szCs w:val="32"/>
        </w:rPr>
      </w:pPr>
      <w:r w:rsidRPr="003639B8">
        <w:rPr>
          <w:rFonts w:asciiTheme="minorHAnsi" w:hAnsiTheme="minorHAnsi"/>
        </w:rPr>
        <w:br w:type="page"/>
      </w:r>
    </w:p>
    <w:p w:rsidR="001F0A59" w:rsidRPr="003639B8" w:rsidRDefault="002C52DD">
      <w:pPr>
        <w:pStyle w:val="Nadpis1"/>
        <w:keepNext w:val="0"/>
        <w:rPr>
          <w:rFonts w:asciiTheme="minorHAnsi" w:hAnsiTheme="minorHAnsi"/>
        </w:rPr>
      </w:pPr>
      <w:r w:rsidRPr="003639B8">
        <w:rPr>
          <w:rFonts w:asciiTheme="minorHAnsi" w:hAnsiTheme="minorHAnsi"/>
        </w:rPr>
        <w:lastRenderedPageBreak/>
        <w:t>Kontrola</w:t>
      </w:r>
    </w:p>
    <w:p w:rsidR="001F0A59" w:rsidRPr="003639B8" w:rsidRDefault="00D31983" w:rsidP="009A173E">
      <w:pPr>
        <w:pStyle w:val="Nadpis2"/>
        <w:keepNext w:val="0"/>
      </w:pPr>
      <w:r w:rsidRPr="003639B8">
        <w:t>Uzavřením této Smlouvy si Poskytovatel s Příjemcem sjednávají, že kontrolní skupina či osoba Poskytovatelem pověřená je oprávněna kdykoli kontrolovat dodržování podmínek, za nichž byla dotace poskytnuta. Tato kontrola bude prováděna zejména v souladu se zákonem č. 255/2012 Sb., o kontrole (kontrolní řád), ve znění pozdějších předpisů (dále jen „</w:t>
      </w:r>
      <w:r w:rsidRPr="003639B8">
        <w:rPr>
          <w:b/>
          <w:i/>
        </w:rPr>
        <w:t>kontrolní řád</w:t>
      </w:r>
      <w:r w:rsidRPr="003639B8">
        <w:t>“), se zákonem č. 320/2001 Sb., o finanční kontrole ve veřejné správě a o změně některých zákonů, ve znění pozdějších předpisů (dále jen „</w:t>
      </w:r>
      <w:r w:rsidRPr="003639B8">
        <w:rPr>
          <w:b/>
          <w:i/>
        </w:rPr>
        <w:t>ZoFK</w:t>
      </w:r>
      <w:r w:rsidRPr="003639B8">
        <w:t>“), se zákonem o krajích a rozpočtovými pravidly.</w:t>
      </w:r>
    </w:p>
    <w:p w:rsidR="001F0A59" w:rsidRPr="003639B8" w:rsidRDefault="00E20200">
      <w:pPr>
        <w:pStyle w:val="Nadpis2"/>
        <w:keepNext w:val="0"/>
        <w:keepLines w:val="0"/>
      </w:pPr>
      <w:r w:rsidRPr="003639B8">
        <w:t xml:space="preserve">Příjemce je povinen na žádost </w:t>
      </w:r>
      <w:r w:rsidR="00CF488A" w:rsidRPr="003639B8">
        <w:t>Poskytovatele</w:t>
      </w:r>
      <w:r w:rsidR="00C67DEC" w:rsidRPr="003639B8">
        <w:t xml:space="preserve"> písemně poskytnout </w:t>
      </w:r>
      <w:r w:rsidRPr="003639B8">
        <w:t>doplňující informace</w:t>
      </w:r>
      <w:r w:rsidR="00C67DEC" w:rsidRPr="003639B8">
        <w:t>, případně doložit další dokumenty,</w:t>
      </w:r>
      <w:r w:rsidRPr="003639B8">
        <w:t xml:space="preserve"> související s plněním účelu poskytnuté dotace.</w:t>
      </w:r>
    </w:p>
    <w:p w:rsidR="001F0A59" w:rsidRPr="003639B8" w:rsidRDefault="00E20200">
      <w:pPr>
        <w:pStyle w:val="Nadpis2"/>
        <w:keepNext w:val="0"/>
        <w:keepLines w:val="0"/>
      </w:pPr>
      <w:r w:rsidRPr="003639B8">
        <w:t>Příjemce je povinen poskytnout součinnost při výkonu kontrolní činnost</w:t>
      </w:r>
      <w:r w:rsidR="00D46DBD" w:rsidRPr="003639B8">
        <w:t>i</w:t>
      </w:r>
      <w:r w:rsidRPr="003639B8">
        <w:t xml:space="preserve"> dle odst. 1 tohoto článku</w:t>
      </w:r>
      <w:r w:rsidR="003D2544" w:rsidRPr="003639B8">
        <w:t xml:space="preserve"> Smlouvy</w:t>
      </w:r>
      <w:r w:rsidRPr="003639B8">
        <w:t xml:space="preserve"> a předložit kdykoliv na vyžádání k </w:t>
      </w:r>
      <w:r w:rsidR="007F4980" w:rsidRPr="003639B8">
        <w:t>nahlédnutím kontrolní skupině</w:t>
      </w:r>
      <w:r w:rsidR="00391ABA" w:rsidRPr="003639B8">
        <w:t xml:space="preserve"> P</w:t>
      </w:r>
      <w:r w:rsidR="007F4980" w:rsidRPr="003639B8">
        <w:t>oskytovatele či osobě</w:t>
      </w:r>
      <w:r w:rsidRPr="003639B8">
        <w:t xml:space="preserve"> </w:t>
      </w:r>
      <w:r w:rsidR="007F4980" w:rsidRPr="003639B8">
        <w:t>Poskytovatelem pověřené</w:t>
      </w:r>
      <w:r w:rsidRPr="003639B8">
        <w:t xml:space="preserve"> </w:t>
      </w:r>
      <w:r w:rsidR="00BF705A" w:rsidRPr="003639B8">
        <w:t>údaje, dokumenty a věci</w:t>
      </w:r>
      <w:r w:rsidR="00923DD2" w:rsidRPr="003639B8">
        <w:t xml:space="preserve"> (dále společně jen „</w:t>
      </w:r>
      <w:r w:rsidR="00923DD2" w:rsidRPr="003639B8">
        <w:rPr>
          <w:b/>
          <w:i/>
        </w:rPr>
        <w:t>podklady</w:t>
      </w:r>
      <w:r w:rsidR="00923DD2" w:rsidRPr="003639B8">
        <w:t>“)</w:t>
      </w:r>
      <w:r w:rsidR="00D46DBD" w:rsidRPr="003639B8">
        <w:t xml:space="preserve"> vztahující</w:t>
      </w:r>
      <w:r w:rsidRPr="003639B8">
        <w:t xml:space="preserve"> se k předmětu kontroly nebo k činnosti kontrolo</w:t>
      </w:r>
      <w:r w:rsidR="00BF705A" w:rsidRPr="003639B8">
        <w:t>vané osoby a v odůvodněných případech umožnit kontrolující osobě zajištění</w:t>
      </w:r>
      <w:r w:rsidRPr="003639B8">
        <w:t xml:space="preserve"> originální</w:t>
      </w:r>
      <w:r w:rsidR="00BF705A" w:rsidRPr="003639B8">
        <w:t>ch podkladů.</w:t>
      </w:r>
    </w:p>
    <w:p w:rsidR="001F0A59" w:rsidRPr="003639B8" w:rsidRDefault="00923DD2">
      <w:pPr>
        <w:pStyle w:val="Nadpis2"/>
        <w:keepNext w:val="0"/>
        <w:keepLines w:val="0"/>
      </w:pPr>
      <w:r w:rsidRPr="003639B8">
        <w:t>Obsahují-li podklady uvedené v</w:t>
      </w:r>
      <w:r w:rsidR="004A33F2" w:rsidRPr="003639B8">
        <w:t> </w:t>
      </w:r>
      <w:r w:rsidRPr="003639B8">
        <w:t>odst</w:t>
      </w:r>
      <w:r w:rsidR="004A33F2" w:rsidRPr="003639B8">
        <w:t>.</w:t>
      </w:r>
      <w:r w:rsidRPr="003639B8">
        <w:t xml:space="preserve"> 3 tohoto článku</w:t>
      </w:r>
      <w:r w:rsidR="00CB0723" w:rsidRPr="003639B8">
        <w:t xml:space="preserve"> Smlouvy</w:t>
      </w:r>
      <w:r w:rsidRPr="003639B8">
        <w:t xml:space="preserve"> osobní údaje osob, jimž je služba </w:t>
      </w:r>
      <w:r w:rsidR="004C3637" w:rsidRPr="003639B8">
        <w:t xml:space="preserve">na základě </w:t>
      </w:r>
      <w:r w:rsidR="004A33F2" w:rsidRPr="003639B8">
        <w:t xml:space="preserve">čl. </w:t>
      </w:r>
      <w:r w:rsidR="00CB394C" w:rsidRPr="003639B8">
        <w:t>6</w:t>
      </w:r>
      <w:r w:rsidR="004C3637" w:rsidRPr="003639B8">
        <w:t xml:space="preserve"> této Smlouvy (resp. na základě Pověření)</w:t>
      </w:r>
      <w:r w:rsidRPr="003639B8">
        <w:t xml:space="preserve"> poskytována, nebrání to jejich zpřístupnění či vydání </w:t>
      </w:r>
      <w:r w:rsidR="007F4980" w:rsidRPr="003639B8">
        <w:t xml:space="preserve">kontrolní skupině či </w:t>
      </w:r>
      <w:r w:rsidRPr="003639B8">
        <w:t>osobě pověřené ke kontrole</w:t>
      </w:r>
      <w:r w:rsidR="000E7CED" w:rsidRPr="003639B8">
        <w:t xml:space="preserve">, a to </w:t>
      </w:r>
      <w:r w:rsidR="00A544AA" w:rsidRPr="003639B8">
        <w:t>v souladu s ustanovením</w:t>
      </w:r>
      <w:r w:rsidR="000E7CED" w:rsidRPr="003639B8">
        <w:t xml:space="preserve"> § 8 písm. c) kontrolního řádu a §</w:t>
      </w:r>
      <w:r w:rsidR="0039451D" w:rsidRPr="003639B8">
        <w:t xml:space="preserve"> </w:t>
      </w:r>
      <w:r w:rsidR="00330800" w:rsidRPr="003639B8">
        <w:t>13</w:t>
      </w:r>
      <w:r w:rsidR="00DA0650" w:rsidRPr="003639B8">
        <w:t xml:space="preserve"> </w:t>
      </w:r>
      <w:r w:rsidR="00330800" w:rsidRPr="003639B8">
        <w:t>ZoFK</w:t>
      </w:r>
      <w:r w:rsidRPr="003639B8">
        <w:t>.</w:t>
      </w:r>
    </w:p>
    <w:p w:rsidR="001F0A59" w:rsidRPr="003639B8" w:rsidRDefault="0095010C">
      <w:pPr>
        <w:pStyle w:val="Nadpis2"/>
        <w:keepNext w:val="0"/>
        <w:keepLines w:val="0"/>
      </w:pPr>
      <w:r w:rsidRPr="003639B8">
        <w:t xml:space="preserve">Poskytoval je rovněž </w:t>
      </w:r>
      <w:r w:rsidR="004C24D7" w:rsidRPr="003639B8">
        <w:t xml:space="preserve">nad rámec kontroly dodržování podmínek dle ZoFK a kontrolního řádu </w:t>
      </w:r>
      <w:r w:rsidRPr="003639B8">
        <w:t>oprávněn k provádění monitoringu a jiných kontrol činnosti Příjemce</w:t>
      </w:r>
      <w:r w:rsidR="00AD6DD2" w:rsidRPr="003639B8">
        <w:t>,</w:t>
      </w:r>
      <w:r w:rsidRPr="003639B8">
        <w:t xml:space="preserve"> a to v souladu s </w:t>
      </w:r>
      <w:r w:rsidR="004A33F2" w:rsidRPr="003639B8">
        <w:t>čl.</w:t>
      </w:r>
      <w:r w:rsidR="009B29F5" w:rsidRPr="003639B8">
        <w:t xml:space="preserve"> </w:t>
      </w:r>
      <w:r w:rsidR="00CB394C" w:rsidRPr="003639B8">
        <w:t>4</w:t>
      </w:r>
      <w:r w:rsidRPr="003639B8">
        <w:t xml:space="preserve"> Pověření</w:t>
      </w:r>
      <w:r w:rsidR="004C24D7" w:rsidRPr="003639B8">
        <w:t>.</w:t>
      </w:r>
    </w:p>
    <w:p w:rsidR="001F0A59" w:rsidRPr="003639B8" w:rsidRDefault="0095010C">
      <w:pPr>
        <w:pStyle w:val="Nadpis2"/>
        <w:keepNext w:val="0"/>
        <w:keepLines w:val="0"/>
      </w:pPr>
      <w:r w:rsidRPr="003639B8">
        <w:t xml:space="preserve">Kontrolní skupina či osoba pověřená ke kontrole může provádět před zahájením kontroly úkony, jejichž účelem je opatření podkladů pro posouzení, zda zahájit kontrolu. O těchto úkonech pořídí záznam. Navazuje-li na tyto úkony kontrola, mohou takto získané </w:t>
      </w:r>
      <w:r w:rsidR="00DA0650" w:rsidRPr="003639B8">
        <w:t xml:space="preserve">skutečnosti sloužit </w:t>
      </w:r>
      <w:r w:rsidRPr="003639B8">
        <w:t xml:space="preserve">jako podklad pro kontrolní zjištění. </w:t>
      </w:r>
    </w:p>
    <w:p w:rsidR="001F0A59" w:rsidRPr="003639B8" w:rsidRDefault="00BC751D">
      <w:pPr>
        <w:pStyle w:val="Nadpis2"/>
        <w:keepNext w:val="0"/>
        <w:keepLines w:val="0"/>
      </w:pPr>
      <w:r w:rsidRPr="003639B8">
        <w:t>O kontrolním zjištění se pořizuje zápis, přičemž jedno vyhotovení je předáno Příjemci.</w:t>
      </w:r>
    </w:p>
    <w:p w:rsidR="001F0A59" w:rsidRPr="003639B8" w:rsidRDefault="00F33FC4">
      <w:pPr>
        <w:pStyle w:val="Nadpis2"/>
        <w:keepNext w:val="0"/>
        <w:keepLines w:val="0"/>
      </w:pPr>
      <w:r w:rsidRPr="003639B8">
        <w:t xml:space="preserve">Příjemce je povinen realizovat nápravná opatření, která mu byla uložena na základě prováděných kontrol, a to v požadovaném termínu, rozsahu a kvalitě a v souladu s § 18 </w:t>
      </w:r>
      <w:r w:rsidR="009A770B" w:rsidRPr="003639B8">
        <w:t xml:space="preserve">ZoFK </w:t>
      </w:r>
      <w:r w:rsidRPr="003639B8">
        <w:t xml:space="preserve">a informovat o splnění nápravných opatření toho, kdo tato nápravná opatření uložil. </w:t>
      </w:r>
    </w:p>
    <w:p w:rsidR="001F0A59" w:rsidRPr="003639B8" w:rsidRDefault="0002250E">
      <w:pPr>
        <w:pStyle w:val="Nadpis2"/>
        <w:keepNext w:val="0"/>
        <w:keepLines w:val="0"/>
      </w:pPr>
      <w:r w:rsidRPr="003639B8">
        <w:t>Příjemce souhlasí s tím, aby kontrolní zjištění byla podkladem pro stanovení sítě KHK.</w:t>
      </w:r>
    </w:p>
    <w:p w:rsidR="009B29F5" w:rsidRPr="003639B8" w:rsidRDefault="009B29F5">
      <w:pPr>
        <w:spacing w:before="0" w:after="0" w:line="240" w:lineRule="auto"/>
        <w:jc w:val="left"/>
        <w:rPr>
          <w:rFonts w:asciiTheme="minorHAnsi" w:hAnsiTheme="minorHAnsi" w:cs="Arial"/>
          <w:b/>
          <w:sz w:val="26"/>
          <w:szCs w:val="32"/>
        </w:rPr>
      </w:pPr>
    </w:p>
    <w:p w:rsidR="001F0A59" w:rsidRPr="003639B8" w:rsidRDefault="00C20FBC">
      <w:pPr>
        <w:pStyle w:val="Nadpis1"/>
        <w:keepNext w:val="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Vrácení dotace</w:t>
      </w:r>
    </w:p>
    <w:p w:rsidR="001F0A59" w:rsidRPr="003639B8" w:rsidRDefault="00D45BBA" w:rsidP="009B29F5">
      <w:pPr>
        <w:pStyle w:val="Nadpis2"/>
        <w:keepNext w:val="0"/>
        <w:keepLines w:val="0"/>
      </w:pPr>
      <w:r w:rsidRPr="003639B8">
        <w:t>Příjemce je povinen vrátit na účet Poskytovatele část nebo celou částku poskytnuté dotace za následujících podmínek:</w:t>
      </w:r>
    </w:p>
    <w:p w:rsidR="001F0A59" w:rsidRPr="003639B8" w:rsidRDefault="00D45BBA" w:rsidP="009B29F5">
      <w:pPr>
        <w:numPr>
          <w:ilvl w:val="0"/>
          <w:numId w:val="21"/>
        </w:numPr>
        <w:ind w:left="360"/>
        <w:jc w:val="left"/>
        <w:rPr>
          <w:rFonts w:asciiTheme="minorHAnsi" w:hAnsiTheme="minorHAnsi"/>
        </w:rPr>
      </w:pPr>
      <w:r w:rsidRPr="003639B8">
        <w:rPr>
          <w:rFonts w:asciiTheme="minorHAnsi" w:hAnsiTheme="minorHAnsi"/>
        </w:rPr>
        <w:t>pokud odpadne účel, na který byla dotace poskytnuta;</w:t>
      </w:r>
    </w:p>
    <w:p w:rsidR="001F0A59" w:rsidRPr="003639B8" w:rsidRDefault="00D45BBA" w:rsidP="009B29F5">
      <w:pPr>
        <w:numPr>
          <w:ilvl w:val="0"/>
          <w:numId w:val="21"/>
        </w:numPr>
        <w:ind w:left="360"/>
        <w:jc w:val="left"/>
        <w:rPr>
          <w:rFonts w:asciiTheme="minorHAnsi" w:hAnsiTheme="minorHAnsi"/>
        </w:rPr>
      </w:pPr>
      <w:r w:rsidRPr="003639B8">
        <w:rPr>
          <w:rFonts w:asciiTheme="minorHAnsi" w:hAnsiTheme="minorHAnsi"/>
        </w:rPr>
        <w:t xml:space="preserve">pokud se </w:t>
      </w:r>
      <w:r w:rsidR="00B8473A" w:rsidRPr="003639B8">
        <w:rPr>
          <w:rFonts w:asciiTheme="minorHAnsi" w:hAnsiTheme="minorHAnsi"/>
        </w:rPr>
        <w:t xml:space="preserve">Příjemce </w:t>
      </w:r>
      <w:r w:rsidRPr="003639B8">
        <w:rPr>
          <w:rFonts w:asciiTheme="minorHAnsi" w:hAnsiTheme="minorHAnsi"/>
        </w:rPr>
        <w:t>dopustí závažného porušení rozpočtové kázně;</w:t>
      </w:r>
    </w:p>
    <w:p w:rsidR="001F0A59" w:rsidRPr="003639B8" w:rsidRDefault="00802C30" w:rsidP="00B8473A">
      <w:pPr>
        <w:numPr>
          <w:ilvl w:val="0"/>
          <w:numId w:val="21"/>
        </w:numPr>
        <w:spacing w:after="160"/>
        <w:ind w:left="360"/>
        <w:rPr>
          <w:rFonts w:asciiTheme="minorHAnsi" w:hAnsiTheme="minorHAnsi"/>
        </w:rPr>
      </w:pPr>
      <w:r w:rsidRPr="003639B8">
        <w:rPr>
          <w:rFonts w:asciiTheme="minorHAnsi" w:hAnsiTheme="minorHAnsi"/>
        </w:rPr>
        <w:lastRenderedPageBreak/>
        <w:t>pokud</w:t>
      </w:r>
      <w:r w:rsidR="00D45BBA" w:rsidRPr="003639B8">
        <w:rPr>
          <w:rFonts w:asciiTheme="minorHAnsi" w:hAnsiTheme="minorHAnsi"/>
        </w:rPr>
        <w:t xml:space="preserve"> </w:t>
      </w:r>
      <w:r w:rsidR="00B8473A" w:rsidRPr="003639B8">
        <w:rPr>
          <w:rFonts w:asciiTheme="minorHAnsi" w:hAnsiTheme="minorHAnsi"/>
        </w:rPr>
        <w:t xml:space="preserve">Příjemce </w:t>
      </w:r>
      <w:r w:rsidR="00D45BBA" w:rsidRPr="003639B8">
        <w:rPr>
          <w:rFonts w:asciiTheme="minorHAnsi" w:hAnsiTheme="minorHAnsi"/>
        </w:rPr>
        <w:t>porušil závažným způsobem jinou povinnost vyplývající ze Smlouvy nebo z Pověření.</w:t>
      </w:r>
    </w:p>
    <w:p w:rsidR="001F0A59" w:rsidRPr="003639B8" w:rsidRDefault="00D45BBA" w:rsidP="00B8473A">
      <w:pPr>
        <w:pStyle w:val="Nadpis2"/>
        <w:keepNext w:val="0"/>
        <w:keepLines w:val="0"/>
      </w:pPr>
      <w:r w:rsidRPr="003639B8">
        <w:t>Příjemce je povinen vrátit na účet Poskytovatele část poskytnuté dotace, a to:</w:t>
      </w:r>
    </w:p>
    <w:p w:rsidR="001F0A59" w:rsidRPr="003639B8" w:rsidRDefault="00D45BBA">
      <w:pPr>
        <w:numPr>
          <w:ilvl w:val="0"/>
          <w:numId w:val="29"/>
        </w:numPr>
        <w:spacing w:before="0" w:after="160"/>
        <w:ind w:left="3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ve výši nevyčerpaného zůstatku poskytnuté dotace, bude-li využita čás</w:t>
      </w:r>
      <w:r w:rsidR="00690840" w:rsidRPr="003639B8">
        <w:rPr>
          <w:rFonts w:asciiTheme="minorHAnsi" w:hAnsiTheme="minorHAnsi"/>
        </w:rPr>
        <w:t>tka nižší než poskytnutá dotace;</w:t>
      </w:r>
    </w:p>
    <w:p w:rsidR="001F0A59" w:rsidRPr="003639B8" w:rsidRDefault="00D45BBA">
      <w:pPr>
        <w:numPr>
          <w:ilvl w:val="0"/>
          <w:numId w:val="29"/>
        </w:numPr>
        <w:spacing w:before="0" w:after="160"/>
        <w:ind w:left="3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 xml:space="preserve">v případě předčasného ukončení </w:t>
      </w:r>
      <w:r w:rsidR="00AD6DD2" w:rsidRPr="003639B8">
        <w:rPr>
          <w:rFonts w:asciiTheme="minorHAnsi" w:hAnsiTheme="minorHAnsi"/>
        </w:rPr>
        <w:t xml:space="preserve">Smlouvy </w:t>
      </w:r>
      <w:r w:rsidRPr="003639B8">
        <w:rPr>
          <w:rFonts w:asciiTheme="minorHAnsi" w:hAnsiTheme="minorHAnsi"/>
        </w:rPr>
        <w:t>ve výši nespotřebované dotace odpovídající poměrné části období, po které nebylo zajištěno poskytování služby dle podmínek stanovených v Pověření</w:t>
      </w:r>
      <w:r w:rsidR="00520A17" w:rsidRPr="003639B8">
        <w:rPr>
          <w:rFonts w:asciiTheme="minorHAnsi" w:hAnsiTheme="minorHAnsi"/>
        </w:rPr>
        <w:t xml:space="preserve"> a </w:t>
      </w:r>
      <w:r w:rsidR="00AD6DD2" w:rsidRPr="003639B8">
        <w:rPr>
          <w:rFonts w:asciiTheme="minorHAnsi" w:hAnsiTheme="minorHAnsi"/>
        </w:rPr>
        <w:t>Smlouvě</w:t>
      </w:r>
      <w:r w:rsidRPr="003639B8">
        <w:rPr>
          <w:rFonts w:asciiTheme="minorHAnsi" w:hAnsiTheme="minorHAnsi"/>
        </w:rPr>
        <w:t>, nebo nižší s ohledem na příjmy z ostatních zdrojů, které byly p</w:t>
      </w:r>
      <w:r w:rsidR="00690840" w:rsidRPr="003639B8">
        <w:rPr>
          <w:rFonts w:asciiTheme="minorHAnsi" w:hAnsiTheme="minorHAnsi"/>
        </w:rPr>
        <w:t>osuzovány při poskytnutí dotace;</w:t>
      </w:r>
    </w:p>
    <w:p w:rsidR="001F0A59" w:rsidRPr="003639B8" w:rsidRDefault="00D45BBA">
      <w:pPr>
        <w:numPr>
          <w:ilvl w:val="0"/>
          <w:numId w:val="29"/>
        </w:numPr>
        <w:spacing w:before="0" w:after="160"/>
        <w:ind w:left="3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nezajistí-li roz</w:t>
      </w:r>
      <w:r w:rsidR="00802C30" w:rsidRPr="003639B8">
        <w:rPr>
          <w:rFonts w:asciiTheme="minorHAnsi" w:hAnsiTheme="minorHAnsi"/>
        </w:rPr>
        <w:t>sah služby stanovený v Pověření (resp. v jeho příloze č. 1),</w:t>
      </w:r>
      <w:r w:rsidRPr="003639B8">
        <w:rPr>
          <w:rFonts w:asciiTheme="minorHAnsi" w:hAnsiTheme="minorHAnsi"/>
        </w:rPr>
        <w:t xml:space="preserve"> </w:t>
      </w:r>
      <w:r w:rsidR="00802C30" w:rsidRPr="003639B8">
        <w:rPr>
          <w:rFonts w:asciiTheme="minorHAnsi" w:hAnsiTheme="minorHAnsi"/>
        </w:rPr>
        <w:t>ledaže tento stav byl způsoben dů</w:t>
      </w:r>
      <w:r w:rsidR="00690840" w:rsidRPr="003639B8">
        <w:rPr>
          <w:rFonts w:asciiTheme="minorHAnsi" w:hAnsiTheme="minorHAnsi"/>
        </w:rPr>
        <w:t>vody hodnými zvláštního zřetele;</w:t>
      </w:r>
    </w:p>
    <w:p w:rsidR="001F0A59" w:rsidRPr="003639B8" w:rsidRDefault="00D45BBA">
      <w:pPr>
        <w:numPr>
          <w:ilvl w:val="0"/>
          <w:numId w:val="29"/>
        </w:numPr>
        <w:spacing w:before="0" w:after="160"/>
        <w:ind w:left="3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ve výši</w:t>
      </w:r>
      <w:r w:rsidR="00802C30" w:rsidRPr="003639B8">
        <w:rPr>
          <w:rFonts w:asciiTheme="minorHAnsi" w:hAnsiTheme="minorHAnsi"/>
        </w:rPr>
        <w:t xml:space="preserve"> rozdílu mezi náklady a výnosy, přičemž bude zohledněn případný</w:t>
      </w:r>
      <w:r w:rsidR="00690840" w:rsidRPr="003639B8">
        <w:rPr>
          <w:rFonts w:asciiTheme="minorHAnsi" w:hAnsiTheme="minorHAnsi"/>
        </w:rPr>
        <w:t xml:space="preserve"> přiměřený zisk, pokud ho P</w:t>
      </w:r>
      <w:r w:rsidR="00802C30" w:rsidRPr="003639B8">
        <w:rPr>
          <w:rFonts w:asciiTheme="minorHAnsi" w:hAnsiTheme="minorHAnsi"/>
        </w:rPr>
        <w:t>oskytovatel umožn</w:t>
      </w:r>
      <w:r w:rsidR="00690840" w:rsidRPr="003639B8">
        <w:rPr>
          <w:rFonts w:asciiTheme="minorHAnsi" w:hAnsiTheme="minorHAnsi"/>
        </w:rPr>
        <w:t>í, za předpokladu, že P</w:t>
      </w:r>
      <w:r w:rsidR="00802C30" w:rsidRPr="003639B8">
        <w:rPr>
          <w:rFonts w:asciiTheme="minorHAnsi" w:hAnsiTheme="minorHAnsi"/>
        </w:rPr>
        <w:t>oskytovatel neumožní převedení finančních prostředků vyrovnávací platby do dalšího roku (max. 10</w:t>
      </w:r>
      <w:r w:rsidR="00B8473A" w:rsidRPr="003639B8">
        <w:rPr>
          <w:rFonts w:asciiTheme="minorHAnsi" w:hAnsiTheme="minorHAnsi"/>
        </w:rPr>
        <w:t xml:space="preserve"> </w:t>
      </w:r>
      <w:r w:rsidR="00802C30" w:rsidRPr="003639B8">
        <w:rPr>
          <w:rFonts w:asciiTheme="minorHAnsi" w:hAnsiTheme="minorHAnsi"/>
        </w:rPr>
        <w:t>% vyrovnávací platby)</w:t>
      </w:r>
      <w:r w:rsidR="00690840" w:rsidRPr="003639B8">
        <w:rPr>
          <w:rFonts w:asciiTheme="minorHAnsi" w:hAnsiTheme="minorHAnsi"/>
        </w:rPr>
        <w:t>;</w:t>
      </w:r>
    </w:p>
    <w:p w:rsidR="001F0A59" w:rsidRPr="003639B8" w:rsidRDefault="00AD5CA3">
      <w:pPr>
        <w:numPr>
          <w:ilvl w:val="0"/>
          <w:numId w:val="29"/>
        </w:numPr>
        <w:spacing w:before="0" w:after="160"/>
        <w:ind w:left="3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jsou-li skutečné příjmy služby vyšší než příjmy služby stanovené pro výpočet vyrovnávací platby se zohledněním případného přiměřeného zisku, ledaže byly kompenzovány objektivně vyššími náklady nezbytnými k řádnému zajištění služby, vyšším rozsahem poskytované služby nebo její vyšší měřitelnou kvalitou, případná kompenzace podléhá schválení ze strany Poskytovatele;</w:t>
      </w:r>
    </w:p>
    <w:p w:rsidR="001F0A59" w:rsidRPr="003639B8" w:rsidRDefault="00D45BBA">
      <w:pPr>
        <w:numPr>
          <w:ilvl w:val="0"/>
          <w:numId w:val="29"/>
        </w:numPr>
        <w:spacing w:before="0" w:after="160"/>
        <w:ind w:left="360"/>
        <w:rPr>
          <w:rFonts w:asciiTheme="minorHAnsi" w:hAnsiTheme="minorHAnsi"/>
        </w:rPr>
      </w:pPr>
      <w:r w:rsidRPr="003639B8">
        <w:rPr>
          <w:rFonts w:asciiTheme="minorHAnsi" w:hAnsiTheme="minorHAnsi"/>
          <w:color w:val="000000" w:themeColor="text1"/>
        </w:rPr>
        <w:t>při porušení rozpočtové kázně, které není porušením závažným</w:t>
      </w:r>
      <w:r w:rsidR="00690840" w:rsidRPr="003639B8">
        <w:rPr>
          <w:rFonts w:asciiTheme="minorHAnsi" w:hAnsiTheme="minorHAnsi"/>
          <w:color w:val="000000" w:themeColor="text1"/>
        </w:rPr>
        <w:t>.</w:t>
      </w:r>
    </w:p>
    <w:p w:rsidR="001F0A59" w:rsidRPr="003639B8" w:rsidRDefault="00D45BBA">
      <w:pPr>
        <w:pStyle w:val="Nadpis2"/>
        <w:keepNext w:val="0"/>
        <w:keepLines w:val="0"/>
      </w:pPr>
      <w:r w:rsidRPr="003639B8">
        <w:t>Příjemce je povinen celou dot</w:t>
      </w:r>
      <w:r w:rsidR="00690840" w:rsidRPr="003639B8">
        <w:t>aci, nebo její část stanovenou Poskytovatelem, vrátit na účet P</w:t>
      </w:r>
      <w:r w:rsidRPr="003639B8">
        <w:t>osk</w:t>
      </w:r>
      <w:r w:rsidR="00690840" w:rsidRPr="003639B8">
        <w:t>ytovatele</w:t>
      </w:r>
      <w:r w:rsidR="00A544AA" w:rsidRPr="003639B8">
        <w:t xml:space="preserve"> uvedený v čl. 1</w:t>
      </w:r>
      <w:r w:rsidRPr="003639B8">
        <w:t xml:space="preserve"> této Smlouvy do 30</w:t>
      </w:r>
      <w:r w:rsidR="0006432C" w:rsidRPr="003639B8">
        <w:t xml:space="preserve"> (třiceti)</w:t>
      </w:r>
      <w:r w:rsidRPr="003639B8">
        <w:t xml:space="preserve"> dnů od písemn</w:t>
      </w:r>
      <w:r w:rsidR="00690840" w:rsidRPr="003639B8">
        <w:t>ého uplatnění tohoto požadavku P</w:t>
      </w:r>
      <w:r w:rsidRPr="003639B8">
        <w:t>oskytovate</w:t>
      </w:r>
      <w:r w:rsidR="00690840" w:rsidRPr="003639B8">
        <w:t>lem</w:t>
      </w:r>
      <w:r w:rsidRPr="003639B8">
        <w:t>.</w:t>
      </w:r>
    </w:p>
    <w:p w:rsidR="001F0A59" w:rsidRPr="003639B8" w:rsidRDefault="00D45BBA">
      <w:pPr>
        <w:pStyle w:val="Nadpis2"/>
        <w:keepNext w:val="0"/>
        <w:keepLines w:val="0"/>
      </w:pPr>
      <w:r w:rsidRPr="003639B8">
        <w:t>Za závažné porušení povinností (za závažné porušení rozpočtové kázně) se považuje:</w:t>
      </w:r>
    </w:p>
    <w:p w:rsidR="001F0A59" w:rsidRPr="003639B8" w:rsidRDefault="00520A17">
      <w:pPr>
        <w:numPr>
          <w:ilvl w:val="0"/>
          <w:numId w:val="33"/>
        </w:numPr>
        <w:spacing w:before="0" w:after="160"/>
        <w:ind w:left="284" w:hanging="284"/>
        <w:rPr>
          <w:rFonts w:asciiTheme="minorHAnsi" w:hAnsiTheme="minorHAnsi"/>
        </w:rPr>
      </w:pPr>
      <w:r w:rsidRPr="003639B8">
        <w:rPr>
          <w:rFonts w:asciiTheme="minorHAnsi" w:hAnsiTheme="minorHAnsi"/>
        </w:rPr>
        <w:t>pokud P</w:t>
      </w:r>
      <w:r w:rsidR="00BB144B" w:rsidRPr="003639B8">
        <w:rPr>
          <w:rFonts w:asciiTheme="minorHAnsi" w:hAnsiTheme="minorHAnsi"/>
        </w:rPr>
        <w:t>říjemce uvede v Ž</w:t>
      </w:r>
      <w:r w:rsidR="00D45BBA" w:rsidRPr="003639B8">
        <w:rPr>
          <w:rFonts w:asciiTheme="minorHAnsi" w:hAnsiTheme="minorHAnsi"/>
        </w:rPr>
        <w:t>ádosti nepravdivé nebo záměrně neúplné údaje</w:t>
      </w:r>
      <w:r w:rsidR="00B3237E" w:rsidRPr="003639B8">
        <w:rPr>
          <w:rFonts w:asciiTheme="minorHAnsi" w:hAnsiTheme="minorHAnsi"/>
        </w:rPr>
        <w:t>;</w:t>
      </w:r>
    </w:p>
    <w:p w:rsidR="001F0A59" w:rsidRPr="003639B8" w:rsidRDefault="00520A17">
      <w:pPr>
        <w:numPr>
          <w:ilvl w:val="0"/>
          <w:numId w:val="33"/>
        </w:numPr>
        <w:spacing w:before="0" w:after="160"/>
        <w:ind w:left="284" w:hanging="284"/>
        <w:rPr>
          <w:rFonts w:asciiTheme="minorHAnsi" w:hAnsiTheme="minorHAnsi"/>
        </w:rPr>
      </w:pPr>
      <w:r w:rsidRPr="003639B8">
        <w:rPr>
          <w:rFonts w:asciiTheme="minorHAnsi" w:hAnsiTheme="minorHAnsi"/>
        </w:rPr>
        <w:t xml:space="preserve">pokud Příjemce </w:t>
      </w:r>
      <w:r w:rsidR="00D45BBA" w:rsidRPr="003639B8">
        <w:rPr>
          <w:rFonts w:asciiTheme="minorHAnsi" w:hAnsiTheme="minorHAnsi"/>
        </w:rPr>
        <w:t>uvede ve vyúčtování podle čl</w:t>
      </w:r>
      <w:r w:rsidR="000527FE" w:rsidRPr="003639B8">
        <w:rPr>
          <w:rFonts w:asciiTheme="minorHAnsi" w:hAnsiTheme="minorHAnsi"/>
        </w:rPr>
        <w:t>.</w:t>
      </w:r>
      <w:r w:rsidR="0006432C" w:rsidRPr="003639B8">
        <w:rPr>
          <w:rFonts w:asciiTheme="minorHAnsi" w:hAnsiTheme="minorHAnsi"/>
        </w:rPr>
        <w:t xml:space="preserve"> </w:t>
      </w:r>
      <w:r w:rsidRPr="003639B8">
        <w:rPr>
          <w:rFonts w:asciiTheme="minorHAnsi" w:hAnsiTheme="minorHAnsi"/>
        </w:rPr>
        <w:t>7 této Smlouvy</w:t>
      </w:r>
      <w:r w:rsidR="00D45BBA" w:rsidRPr="003639B8">
        <w:rPr>
          <w:rFonts w:asciiTheme="minorHAnsi" w:hAnsiTheme="minorHAnsi"/>
        </w:rPr>
        <w:t xml:space="preserve"> neúplné nebo nepravdivé informace</w:t>
      </w:r>
      <w:r w:rsidR="00B3237E" w:rsidRPr="003639B8">
        <w:rPr>
          <w:rFonts w:asciiTheme="minorHAnsi" w:hAnsiTheme="minorHAnsi"/>
        </w:rPr>
        <w:t xml:space="preserve">; </w:t>
      </w:r>
    </w:p>
    <w:p w:rsidR="001F0A59" w:rsidRPr="003639B8" w:rsidRDefault="00520A17">
      <w:pPr>
        <w:numPr>
          <w:ilvl w:val="0"/>
          <w:numId w:val="33"/>
        </w:numPr>
        <w:spacing w:before="0" w:after="160"/>
        <w:ind w:left="284" w:hanging="284"/>
        <w:rPr>
          <w:rFonts w:asciiTheme="minorHAnsi" w:hAnsiTheme="minorHAnsi"/>
        </w:rPr>
      </w:pPr>
      <w:r w:rsidRPr="003639B8">
        <w:rPr>
          <w:rFonts w:asciiTheme="minorHAnsi" w:hAnsiTheme="minorHAnsi"/>
        </w:rPr>
        <w:t>pokud Příjemce</w:t>
      </w:r>
      <w:r w:rsidR="00D45BBA" w:rsidRPr="003639B8">
        <w:rPr>
          <w:rFonts w:asciiTheme="minorHAnsi" w:hAnsiTheme="minorHAnsi"/>
        </w:rPr>
        <w:t xml:space="preserve"> neuchoval dokumenty o poskytované </w:t>
      </w:r>
      <w:r w:rsidRPr="003639B8">
        <w:rPr>
          <w:rFonts w:asciiTheme="minorHAnsi" w:hAnsiTheme="minorHAnsi"/>
        </w:rPr>
        <w:t xml:space="preserve">službě dle </w:t>
      </w:r>
      <w:r w:rsidR="00D31983" w:rsidRPr="003639B8">
        <w:rPr>
          <w:rFonts w:asciiTheme="minorHAnsi" w:hAnsiTheme="minorHAnsi"/>
        </w:rPr>
        <w:t>čl</w:t>
      </w:r>
      <w:r w:rsidR="000527FE" w:rsidRPr="003639B8">
        <w:rPr>
          <w:rFonts w:asciiTheme="minorHAnsi" w:hAnsiTheme="minorHAnsi"/>
        </w:rPr>
        <w:t>.</w:t>
      </w:r>
      <w:r w:rsidR="00D31983" w:rsidRPr="003639B8">
        <w:rPr>
          <w:rFonts w:asciiTheme="minorHAnsi" w:hAnsiTheme="minorHAnsi"/>
        </w:rPr>
        <w:t xml:space="preserve"> 7 odst. </w:t>
      </w:r>
      <w:r w:rsidR="00B3237E" w:rsidRPr="003639B8">
        <w:rPr>
          <w:rFonts w:asciiTheme="minorHAnsi" w:hAnsiTheme="minorHAnsi"/>
        </w:rPr>
        <w:t xml:space="preserve">11 </w:t>
      </w:r>
      <w:r w:rsidR="0006432C" w:rsidRPr="003639B8">
        <w:rPr>
          <w:rFonts w:asciiTheme="minorHAnsi" w:hAnsiTheme="minorHAnsi"/>
        </w:rPr>
        <w:t>této Smlouvy</w:t>
      </w:r>
      <w:r w:rsidR="000527FE" w:rsidRPr="003639B8">
        <w:rPr>
          <w:rFonts w:asciiTheme="minorHAnsi" w:hAnsiTheme="minorHAnsi"/>
        </w:rPr>
        <w:t>;</w:t>
      </w:r>
    </w:p>
    <w:p w:rsidR="001F0A59" w:rsidRPr="003639B8" w:rsidRDefault="00520A17">
      <w:pPr>
        <w:numPr>
          <w:ilvl w:val="0"/>
          <w:numId w:val="33"/>
        </w:numPr>
        <w:spacing w:before="0" w:after="160"/>
        <w:ind w:left="284" w:hanging="284"/>
        <w:rPr>
          <w:rFonts w:asciiTheme="minorHAnsi" w:hAnsiTheme="minorHAnsi"/>
        </w:rPr>
      </w:pPr>
      <w:r w:rsidRPr="003639B8">
        <w:rPr>
          <w:rFonts w:asciiTheme="minorHAnsi" w:hAnsiTheme="minorHAnsi"/>
        </w:rPr>
        <w:t>pokud P</w:t>
      </w:r>
      <w:r w:rsidR="00D45BBA" w:rsidRPr="003639B8">
        <w:rPr>
          <w:rFonts w:asciiTheme="minorHAnsi" w:hAnsiTheme="minorHAnsi"/>
        </w:rPr>
        <w:t>říjemce neumožní provedení kontr</w:t>
      </w:r>
      <w:r w:rsidRPr="003639B8">
        <w:rPr>
          <w:rFonts w:asciiTheme="minorHAnsi" w:hAnsiTheme="minorHAnsi"/>
        </w:rPr>
        <w:t>oly orgánům a osobám pověřeným P</w:t>
      </w:r>
      <w:r w:rsidR="00D45BBA" w:rsidRPr="003639B8">
        <w:rPr>
          <w:rFonts w:asciiTheme="minorHAnsi" w:hAnsiTheme="minorHAnsi"/>
        </w:rPr>
        <w:t>oskytovatelem.</w:t>
      </w:r>
    </w:p>
    <w:p w:rsidR="001F0A59" w:rsidRPr="003639B8" w:rsidRDefault="00D45BBA" w:rsidP="00B8473A">
      <w:pPr>
        <w:pStyle w:val="Nadpis2"/>
        <w:keepNext w:val="0"/>
      </w:pPr>
      <w:r w:rsidRPr="003639B8">
        <w:t xml:space="preserve">Za méně závažné porušení </w:t>
      </w:r>
      <w:r w:rsidR="0006432C" w:rsidRPr="003639B8">
        <w:t>povinností</w:t>
      </w:r>
      <w:r w:rsidRPr="003639B8">
        <w:t xml:space="preserve"> (méně závažné porušení </w:t>
      </w:r>
      <w:r w:rsidR="0006432C" w:rsidRPr="003639B8">
        <w:t>rozpočtové kázně)</w:t>
      </w:r>
      <w:r w:rsidRPr="003639B8">
        <w:t xml:space="preserve"> se považuje:</w:t>
      </w:r>
    </w:p>
    <w:p w:rsidR="001F0A59" w:rsidRPr="003639B8" w:rsidRDefault="00520A17" w:rsidP="009B29F5">
      <w:pPr>
        <w:keepLines/>
        <w:numPr>
          <w:ilvl w:val="1"/>
          <w:numId w:val="36"/>
        </w:numPr>
        <w:spacing w:after="1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 xml:space="preserve">pokud Příjemce </w:t>
      </w:r>
      <w:r w:rsidR="00BB144B" w:rsidRPr="003639B8">
        <w:rPr>
          <w:rFonts w:asciiTheme="minorHAnsi" w:hAnsiTheme="minorHAnsi"/>
        </w:rPr>
        <w:t>uvede v Ž</w:t>
      </w:r>
      <w:r w:rsidR="00D45BBA" w:rsidRPr="003639B8">
        <w:rPr>
          <w:rFonts w:asciiTheme="minorHAnsi" w:hAnsiTheme="minorHAnsi"/>
        </w:rPr>
        <w:t>ádosti neúplné údaje, které mají vliv na výpočet vyrovnávací platby;</w:t>
      </w:r>
    </w:p>
    <w:p w:rsidR="001F0A59" w:rsidRPr="003639B8" w:rsidRDefault="00520A17" w:rsidP="009B29F5">
      <w:pPr>
        <w:keepLines/>
        <w:numPr>
          <w:ilvl w:val="1"/>
          <w:numId w:val="36"/>
        </w:numPr>
        <w:spacing w:before="0" w:after="1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p</w:t>
      </w:r>
      <w:r w:rsidR="00D45BBA" w:rsidRPr="003639B8">
        <w:rPr>
          <w:rFonts w:asciiTheme="minorHAnsi" w:hAnsiTheme="minorHAnsi"/>
        </w:rPr>
        <w:t>okud se služba, na kterou je dotace určena</w:t>
      </w:r>
      <w:r w:rsidR="00AD6DD2" w:rsidRPr="003639B8">
        <w:rPr>
          <w:rFonts w:asciiTheme="minorHAnsi" w:hAnsiTheme="minorHAnsi"/>
        </w:rPr>
        <w:t>,</w:t>
      </w:r>
      <w:r w:rsidR="00D45BBA" w:rsidRPr="003639B8">
        <w:rPr>
          <w:rFonts w:asciiTheme="minorHAnsi" w:hAnsiTheme="minorHAnsi"/>
        </w:rPr>
        <w:t xml:space="preserve"> neuskuteční nebo nebude realizována v souladu s údaji, předloženými v Žádosti;</w:t>
      </w:r>
    </w:p>
    <w:p w:rsidR="001F0A59" w:rsidRPr="003639B8" w:rsidRDefault="00D45BBA" w:rsidP="009B29F5">
      <w:pPr>
        <w:keepLines/>
        <w:numPr>
          <w:ilvl w:val="1"/>
          <w:numId w:val="36"/>
        </w:numPr>
        <w:spacing w:before="0" w:after="1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 xml:space="preserve">v případě prodlení v podání závěrečné zprávy, včetně příslušných vyúčtování </w:t>
      </w:r>
      <w:r w:rsidR="00520A17" w:rsidRPr="003639B8">
        <w:rPr>
          <w:rFonts w:asciiTheme="minorHAnsi" w:hAnsiTheme="minorHAnsi"/>
        </w:rPr>
        <w:t xml:space="preserve">a příloh Příjemcem podle </w:t>
      </w:r>
      <w:r w:rsidR="00D31983" w:rsidRPr="003639B8">
        <w:rPr>
          <w:rFonts w:asciiTheme="minorHAnsi" w:hAnsiTheme="minorHAnsi"/>
        </w:rPr>
        <w:t>č</w:t>
      </w:r>
      <w:r w:rsidR="000527FE" w:rsidRPr="003639B8">
        <w:rPr>
          <w:rFonts w:asciiTheme="minorHAnsi" w:hAnsiTheme="minorHAnsi"/>
        </w:rPr>
        <w:t>.</w:t>
      </w:r>
      <w:r w:rsidR="00D31983" w:rsidRPr="003639B8">
        <w:rPr>
          <w:rFonts w:asciiTheme="minorHAnsi" w:hAnsiTheme="minorHAnsi"/>
        </w:rPr>
        <w:t xml:space="preserve"> 7 této Smlouvy</w:t>
      </w:r>
      <w:r w:rsidRPr="003639B8">
        <w:rPr>
          <w:rFonts w:asciiTheme="minorHAnsi" w:hAnsiTheme="minorHAnsi"/>
        </w:rPr>
        <w:t>;</w:t>
      </w:r>
    </w:p>
    <w:p w:rsidR="001F0A59" w:rsidRPr="003639B8" w:rsidRDefault="00520A17" w:rsidP="009B29F5">
      <w:pPr>
        <w:keepLines/>
        <w:numPr>
          <w:ilvl w:val="1"/>
          <w:numId w:val="36"/>
        </w:numPr>
        <w:spacing w:before="0" w:after="1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pokud P</w:t>
      </w:r>
      <w:r w:rsidR="00D45BBA" w:rsidRPr="003639B8">
        <w:rPr>
          <w:rFonts w:asciiTheme="minorHAnsi" w:hAnsiTheme="minorHAnsi"/>
        </w:rPr>
        <w:t>říjemce čerpá prostředky dotace na zajištění jiných než základních činností služby;</w:t>
      </w:r>
    </w:p>
    <w:p w:rsidR="001F0A59" w:rsidRPr="003639B8" w:rsidRDefault="00520A17" w:rsidP="009B29F5">
      <w:pPr>
        <w:keepLines/>
        <w:numPr>
          <w:ilvl w:val="1"/>
          <w:numId w:val="36"/>
        </w:numPr>
        <w:spacing w:before="0" w:after="160"/>
        <w:rPr>
          <w:rFonts w:asciiTheme="minorHAnsi" w:hAnsiTheme="minorHAnsi"/>
        </w:rPr>
      </w:pPr>
      <w:r w:rsidRPr="003639B8">
        <w:rPr>
          <w:rFonts w:asciiTheme="minorHAnsi" w:hAnsiTheme="minorHAnsi"/>
        </w:rPr>
        <w:lastRenderedPageBreak/>
        <w:t>pokud Příjemce</w:t>
      </w:r>
      <w:r w:rsidR="00D45BBA" w:rsidRPr="003639B8">
        <w:rPr>
          <w:rFonts w:asciiTheme="minorHAnsi" w:hAnsiTheme="minorHAnsi"/>
        </w:rPr>
        <w:t xml:space="preserve"> pozbyl registraci</w:t>
      </w:r>
      <w:r w:rsidRPr="003639B8">
        <w:rPr>
          <w:rFonts w:asciiTheme="minorHAnsi" w:hAnsiTheme="minorHAnsi"/>
        </w:rPr>
        <w:t xml:space="preserve"> k poskytování služby</w:t>
      </w:r>
      <w:r w:rsidR="00D45BBA" w:rsidRPr="003639B8">
        <w:rPr>
          <w:rFonts w:asciiTheme="minorHAnsi" w:hAnsiTheme="minorHAnsi"/>
        </w:rPr>
        <w:t>;</w:t>
      </w:r>
    </w:p>
    <w:p w:rsidR="001F0A59" w:rsidRPr="003639B8" w:rsidRDefault="00D45BBA" w:rsidP="009B29F5">
      <w:pPr>
        <w:keepLines/>
        <w:numPr>
          <w:ilvl w:val="1"/>
          <w:numId w:val="36"/>
        </w:numPr>
        <w:spacing w:before="0" w:after="1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 xml:space="preserve">pokud </w:t>
      </w:r>
      <w:r w:rsidR="00520A17" w:rsidRPr="003639B8">
        <w:rPr>
          <w:rFonts w:asciiTheme="minorHAnsi" w:hAnsiTheme="minorHAnsi"/>
        </w:rPr>
        <w:t xml:space="preserve">Příjemce </w:t>
      </w:r>
      <w:r w:rsidRPr="003639B8">
        <w:rPr>
          <w:rFonts w:asciiTheme="minorHAnsi" w:hAnsiTheme="minorHAnsi"/>
        </w:rPr>
        <w:t>nevede oddělené účtování prostředků dotace</w:t>
      </w:r>
      <w:r w:rsidR="00031DA4" w:rsidRPr="003639B8">
        <w:rPr>
          <w:rFonts w:asciiTheme="minorHAnsi" w:hAnsiTheme="minorHAnsi"/>
        </w:rPr>
        <w:t xml:space="preserve"> a příjmů a výdajů spojených s po</w:t>
      </w:r>
      <w:r w:rsidR="0006432C" w:rsidRPr="003639B8">
        <w:rPr>
          <w:rFonts w:asciiTheme="minorHAnsi" w:hAnsiTheme="minorHAnsi"/>
        </w:rPr>
        <w:t>s</w:t>
      </w:r>
      <w:r w:rsidR="00031DA4" w:rsidRPr="003639B8">
        <w:rPr>
          <w:rFonts w:asciiTheme="minorHAnsi" w:hAnsiTheme="minorHAnsi"/>
        </w:rPr>
        <w:t>kytováním služby uvedené v Pověření</w:t>
      </w:r>
      <w:r w:rsidRPr="003639B8">
        <w:rPr>
          <w:rFonts w:asciiTheme="minorHAnsi" w:hAnsiTheme="minorHAnsi"/>
        </w:rPr>
        <w:t>;</w:t>
      </w:r>
    </w:p>
    <w:p w:rsidR="001F0A59" w:rsidRPr="003639B8" w:rsidRDefault="00D45BBA" w:rsidP="009B29F5">
      <w:pPr>
        <w:keepLines/>
        <w:numPr>
          <w:ilvl w:val="1"/>
          <w:numId w:val="36"/>
        </w:numPr>
        <w:spacing w:before="0" w:after="1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 xml:space="preserve">pokud </w:t>
      </w:r>
      <w:r w:rsidR="00520A17" w:rsidRPr="003639B8">
        <w:rPr>
          <w:rFonts w:asciiTheme="minorHAnsi" w:hAnsiTheme="minorHAnsi"/>
        </w:rPr>
        <w:t xml:space="preserve">Příjemce </w:t>
      </w:r>
      <w:r w:rsidRPr="003639B8">
        <w:rPr>
          <w:rFonts w:asciiTheme="minorHAnsi" w:hAnsiTheme="minorHAnsi"/>
        </w:rPr>
        <w:t xml:space="preserve">použije prostředky na krytí výdajů zúčtovaných v jiném období, než je stanoveno v této Smlouvě, tj. v jiném období než od 1. </w:t>
      </w:r>
      <w:r w:rsidR="000527FE" w:rsidRPr="003639B8">
        <w:rPr>
          <w:rFonts w:asciiTheme="minorHAnsi" w:hAnsiTheme="minorHAnsi"/>
        </w:rPr>
        <w:t xml:space="preserve">ledna </w:t>
      </w:r>
      <w:r w:rsidRPr="003639B8">
        <w:rPr>
          <w:rFonts w:asciiTheme="minorHAnsi" w:hAnsiTheme="minorHAnsi"/>
        </w:rPr>
        <w:t>2015 do 31. </w:t>
      </w:r>
      <w:r w:rsidR="000527FE" w:rsidRPr="003639B8">
        <w:rPr>
          <w:rFonts w:asciiTheme="minorHAnsi" w:hAnsiTheme="minorHAnsi"/>
        </w:rPr>
        <w:t xml:space="preserve">prosince </w:t>
      </w:r>
      <w:r w:rsidRPr="003639B8">
        <w:rPr>
          <w:rFonts w:asciiTheme="minorHAnsi" w:hAnsiTheme="minorHAnsi"/>
        </w:rPr>
        <w:t>2015;</w:t>
      </w:r>
    </w:p>
    <w:p w:rsidR="001F0A59" w:rsidRPr="003639B8" w:rsidRDefault="00D31983" w:rsidP="009B29F5">
      <w:pPr>
        <w:keepLines/>
        <w:numPr>
          <w:ilvl w:val="1"/>
          <w:numId w:val="36"/>
        </w:numPr>
        <w:spacing w:before="0" w:after="1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pokud Příjemce použije prostředky v rozporu s Přílohou č. 1, příp. upravenou a schválenou výší;</w:t>
      </w:r>
    </w:p>
    <w:p w:rsidR="001F0A59" w:rsidRPr="003639B8" w:rsidRDefault="00D31983" w:rsidP="009B29F5">
      <w:pPr>
        <w:keepLines/>
        <w:numPr>
          <w:ilvl w:val="1"/>
          <w:numId w:val="36"/>
        </w:numPr>
        <w:spacing w:before="0" w:after="1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 xml:space="preserve">pokud Příjemce použije finanční prostředky na </w:t>
      </w:r>
      <w:r w:rsidR="000527FE" w:rsidRPr="003639B8">
        <w:rPr>
          <w:rFonts w:asciiTheme="minorHAnsi" w:hAnsiTheme="minorHAnsi"/>
        </w:rPr>
        <w:t>výdaje, které nelze hradit z dotace, uvedené v příloze č. 1 této Smlouvy;</w:t>
      </w:r>
    </w:p>
    <w:p w:rsidR="001F0A59" w:rsidRPr="003639B8" w:rsidRDefault="00520A17" w:rsidP="009B29F5">
      <w:pPr>
        <w:keepLines/>
        <w:numPr>
          <w:ilvl w:val="1"/>
          <w:numId w:val="36"/>
        </w:numPr>
        <w:spacing w:before="0" w:after="1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neprokáže-li P</w:t>
      </w:r>
      <w:r w:rsidR="00D45BBA" w:rsidRPr="003639B8">
        <w:rPr>
          <w:rFonts w:asciiTheme="minorHAnsi" w:hAnsiTheme="minorHAnsi"/>
        </w:rPr>
        <w:t>říjemce</w:t>
      </w:r>
      <w:r w:rsidR="00A167F4" w:rsidRPr="003639B8">
        <w:rPr>
          <w:rFonts w:asciiTheme="minorHAnsi" w:hAnsiTheme="minorHAnsi"/>
        </w:rPr>
        <w:t>,</w:t>
      </w:r>
      <w:r w:rsidR="000527FE" w:rsidRPr="003639B8">
        <w:rPr>
          <w:rFonts w:asciiTheme="minorHAnsi" w:hAnsiTheme="minorHAnsi"/>
        </w:rPr>
        <w:t xml:space="preserve"> </w:t>
      </w:r>
      <w:r w:rsidR="00D45BBA" w:rsidRPr="003639B8">
        <w:rPr>
          <w:rFonts w:asciiTheme="minorHAnsi" w:hAnsiTheme="minorHAnsi"/>
        </w:rPr>
        <w:t xml:space="preserve">jak byly </w:t>
      </w:r>
      <w:r w:rsidR="00A167F4" w:rsidRPr="003639B8">
        <w:rPr>
          <w:rFonts w:asciiTheme="minorHAnsi" w:hAnsiTheme="minorHAnsi"/>
        </w:rPr>
        <w:t>poskytnut</w:t>
      </w:r>
      <w:r w:rsidR="0006432C" w:rsidRPr="003639B8">
        <w:rPr>
          <w:rFonts w:asciiTheme="minorHAnsi" w:hAnsiTheme="minorHAnsi"/>
        </w:rPr>
        <w:t>é</w:t>
      </w:r>
      <w:r w:rsidR="00A167F4" w:rsidRPr="003639B8">
        <w:rPr>
          <w:rFonts w:asciiTheme="minorHAnsi" w:hAnsiTheme="minorHAnsi"/>
        </w:rPr>
        <w:t xml:space="preserve"> </w:t>
      </w:r>
      <w:r w:rsidR="0006432C" w:rsidRPr="003639B8">
        <w:rPr>
          <w:rFonts w:asciiTheme="minorHAnsi" w:hAnsiTheme="minorHAnsi"/>
        </w:rPr>
        <w:t>peněžní</w:t>
      </w:r>
      <w:r w:rsidR="00A167F4" w:rsidRPr="003639B8">
        <w:rPr>
          <w:rFonts w:asciiTheme="minorHAnsi" w:hAnsiTheme="minorHAnsi"/>
        </w:rPr>
        <w:t xml:space="preserve"> </w:t>
      </w:r>
      <w:r w:rsidR="00D45BBA" w:rsidRPr="003639B8">
        <w:rPr>
          <w:rFonts w:asciiTheme="minorHAnsi" w:hAnsiTheme="minorHAnsi"/>
        </w:rPr>
        <w:t>prostředky použity;</w:t>
      </w:r>
    </w:p>
    <w:p w:rsidR="001F0A59" w:rsidRPr="003639B8" w:rsidRDefault="00520A17" w:rsidP="009B29F5">
      <w:pPr>
        <w:keepLines/>
        <w:numPr>
          <w:ilvl w:val="1"/>
          <w:numId w:val="36"/>
        </w:numPr>
        <w:spacing w:before="0" w:after="1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 xml:space="preserve">nesplní-li Příjemce </w:t>
      </w:r>
      <w:r w:rsidR="00D45BBA" w:rsidRPr="003639B8">
        <w:rPr>
          <w:rFonts w:asciiTheme="minorHAnsi" w:hAnsiTheme="minorHAnsi"/>
        </w:rPr>
        <w:t>dobrovolně povinnost vrátit prostředky d</w:t>
      </w:r>
      <w:r w:rsidRPr="003639B8">
        <w:rPr>
          <w:rFonts w:asciiTheme="minorHAnsi" w:hAnsiTheme="minorHAnsi"/>
        </w:rPr>
        <w:t>otace v termínu stanoveném P</w:t>
      </w:r>
      <w:r w:rsidR="00D45BBA" w:rsidRPr="003639B8">
        <w:rPr>
          <w:rFonts w:asciiTheme="minorHAnsi" w:hAnsiTheme="minorHAnsi"/>
        </w:rPr>
        <w:t>oskytovatelem</w:t>
      </w:r>
      <w:r w:rsidR="0006432C" w:rsidRPr="003639B8">
        <w:rPr>
          <w:rFonts w:asciiTheme="minorHAnsi" w:hAnsiTheme="minorHAnsi"/>
        </w:rPr>
        <w:t xml:space="preserve"> nebo </w:t>
      </w:r>
      <w:r w:rsidR="00A167F4" w:rsidRPr="003639B8">
        <w:rPr>
          <w:rFonts w:asciiTheme="minorHAnsi" w:hAnsiTheme="minorHAnsi"/>
        </w:rPr>
        <w:t>S</w:t>
      </w:r>
      <w:r w:rsidR="00D45BBA" w:rsidRPr="003639B8">
        <w:rPr>
          <w:rFonts w:asciiTheme="minorHAnsi" w:hAnsiTheme="minorHAnsi"/>
        </w:rPr>
        <w:t>mlouvou;</w:t>
      </w:r>
    </w:p>
    <w:p w:rsidR="001F0A59" w:rsidRPr="003639B8" w:rsidRDefault="00D45BBA" w:rsidP="009B29F5">
      <w:pPr>
        <w:keepLines/>
        <w:numPr>
          <w:ilvl w:val="1"/>
          <w:numId w:val="36"/>
        </w:numPr>
        <w:spacing w:before="0" w:after="16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v případě porušení každé jiné povinnosti nepeněžní povahy, sta</w:t>
      </w:r>
      <w:r w:rsidR="00520A17" w:rsidRPr="003639B8">
        <w:rPr>
          <w:rFonts w:asciiTheme="minorHAnsi" w:hAnsiTheme="minorHAnsi"/>
        </w:rPr>
        <w:t xml:space="preserve">novené touto </w:t>
      </w:r>
      <w:r w:rsidR="00A167F4" w:rsidRPr="003639B8">
        <w:rPr>
          <w:rFonts w:asciiTheme="minorHAnsi" w:hAnsiTheme="minorHAnsi"/>
        </w:rPr>
        <w:t>Smlouvou</w:t>
      </w:r>
      <w:r w:rsidR="000527FE" w:rsidRPr="003639B8">
        <w:rPr>
          <w:rFonts w:asciiTheme="minorHAnsi" w:hAnsiTheme="minorHAnsi"/>
        </w:rPr>
        <w:t>,</w:t>
      </w:r>
      <w:r w:rsidR="00A167F4" w:rsidRPr="003639B8">
        <w:rPr>
          <w:rFonts w:asciiTheme="minorHAnsi" w:hAnsiTheme="minorHAnsi"/>
        </w:rPr>
        <w:t xml:space="preserve"> </w:t>
      </w:r>
      <w:r w:rsidR="00520A17" w:rsidRPr="003639B8">
        <w:rPr>
          <w:rFonts w:asciiTheme="minorHAnsi" w:hAnsiTheme="minorHAnsi"/>
        </w:rPr>
        <w:t>ze strany Příjemce, vzniká P</w:t>
      </w:r>
      <w:r w:rsidRPr="003639B8">
        <w:rPr>
          <w:rFonts w:asciiTheme="minorHAnsi" w:hAnsiTheme="minorHAnsi"/>
        </w:rPr>
        <w:t xml:space="preserve">oskytovateli právo požadovat smluvní pokutu až do výše 10 % z celkové částky poskytnuté dotace. </w:t>
      </w:r>
      <w:r w:rsidR="00A74DE1" w:rsidRPr="003639B8">
        <w:rPr>
          <w:rFonts w:asciiTheme="minorHAnsi" w:hAnsiTheme="minorHAnsi"/>
        </w:rPr>
        <w:t xml:space="preserve"> </w:t>
      </w:r>
    </w:p>
    <w:p w:rsidR="001F0A59" w:rsidRPr="003639B8" w:rsidRDefault="00942B33">
      <w:pPr>
        <w:pStyle w:val="Nadpis2"/>
        <w:keepNext w:val="0"/>
        <w:keepLines w:val="0"/>
      </w:pPr>
      <w:r w:rsidRPr="003639B8">
        <w:t>Při neoprávněném použití veřejných prostředků, které je považováno za méně závažné</w:t>
      </w:r>
      <w:r w:rsidR="00690840" w:rsidRPr="003639B8">
        <w:t>,</w:t>
      </w:r>
      <w:r w:rsidRPr="003639B8">
        <w:t xml:space="preserve"> je stanoven následující odvod:</w:t>
      </w:r>
    </w:p>
    <w:p w:rsidR="001F0A59" w:rsidRPr="003639B8" w:rsidRDefault="00942B33">
      <w:pPr>
        <w:pStyle w:val="Nadpis2"/>
        <w:keepNext w:val="0"/>
        <w:keepLines w:val="0"/>
        <w:numPr>
          <w:ilvl w:val="0"/>
          <w:numId w:val="38"/>
        </w:numPr>
        <w:ind w:left="360"/>
      </w:pPr>
      <w:r w:rsidRPr="003639B8">
        <w:t xml:space="preserve">ve výši neoprávněně užitých prostředků nebo ve výši prostředků, které byly poskytnuty v souvislosti s chybně stanoveným rozsahem nebo výpočtem služby v případě porušení </w:t>
      </w:r>
      <w:r w:rsidR="00E0393C" w:rsidRPr="003639B8">
        <w:t xml:space="preserve">povinností </w:t>
      </w:r>
      <w:r w:rsidRPr="003639B8">
        <w:t>stanovených v</w:t>
      </w:r>
      <w:r w:rsidR="00C709CC" w:rsidRPr="003639B8">
        <w:t> čl. 9 odst. 5,</w:t>
      </w:r>
      <w:r w:rsidRPr="003639B8">
        <w:t xml:space="preserve"> písm. a), b), d), g), h), i), j)</w:t>
      </w:r>
      <w:r w:rsidR="00E0393C" w:rsidRPr="003639B8">
        <w:t xml:space="preserve"> této Smlouvy</w:t>
      </w:r>
      <w:r w:rsidRPr="003639B8">
        <w:t xml:space="preserve">;  </w:t>
      </w:r>
    </w:p>
    <w:p w:rsidR="001F0A59" w:rsidRPr="003639B8" w:rsidRDefault="00942B33">
      <w:pPr>
        <w:pStyle w:val="Nadpis2"/>
        <w:keepNext w:val="0"/>
        <w:keepLines w:val="0"/>
        <w:numPr>
          <w:ilvl w:val="0"/>
          <w:numId w:val="38"/>
        </w:numPr>
        <w:ind w:left="360"/>
        <w:rPr>
          <w:lang w:bidi="en-US"/>
        </w:rPr>
      </w:pPr>
      <w:r w:rsidRPr="003639B8">
        <w:rPr>
          <w:lang w:bidi="en-US"/>
        </w:rPr>
        <w:t xml:space="preserve">ve výši až 10 % poskytnuté dotace při porušení </w:t>
      </w:r>
      <w:r w:rsidR="00E0393C" w:rsidRPr="003639B8">
        <w:rPr>
          <w:lang w:bidi="en-US"/>
        </w:rPr>
        <w:t xml:space="preserve">povinností </w:t>
      </w:r>
      <w:r w:rsidRPr="003639B8">
        <w:rPr>
          <w:lang w:bidi="en-US"/>
        </w:rPr>
        <w:t>stanovených v </w:t>
      </w:r>
      <w:r w:rsidR="00C709CC" w:rsidRPr="003639B8">
        <w:rPr>
          <w:lang w:bidi="en-US"/>
        </w:rPr>
        <w:t xml:space="preserve">čl. 9 odst. 5, </w:t>
      </w:r>
      <w:r w:rsidRPr="003639B8">
        <w:rPr>
          <w:lang w:bidi="en-US"/>
        </w:rPr>
        <w:t xml:space="preserve">písm. </w:t>
      </w:r>
      <w:r w:rsidR="00DF62C8" w:rsidRPr="003639B8">
        <w:rPr>
          <w:lang w:bidi="en-US"/>
        </w:rPr>
        <w:t xml:space="preserve">f) a </w:t>
      </w:r>
      <w:r w:rsidRPr="003639B8">
        <w:rPr>
          <w:lang w:bidi="en-US"/>
        </w:rPr>
        <w:t>l)</w:t>
      </w:r>
      <w:r w:rsidR="00E0393C" w:rsidRPr="003639B8">
        <w:rPr>
          <w:lang w:bidi="en-US"/>
        </w:rPr>
        <w:t xml:space="preserve"> této Smlouvy</w:t>
      </w:r>
      <w:r w:rsidRPr="003639B8">
        <w:rPr>
          <w:lang w:bidi="en-US"/>
        </w:rPr>
        <w:t>;</w:t>
      </w:r>
    </w:p>
    <w:p w:rsidR="001F0A59" w:rsidRPr="003639B8" w:rsidRDefault="00942B33">
      <w:pPr>
        <w:pStyle w:val="Nadpis2"/>
        <w:keepNext w:val="0"/>
        <w:keepLines w:val="0"/>
        <w:numPr>
          <w:ilvl w:val="0"/>
          <w:numId w:val="38"/>
        </w:numPr>
        <w:ind w:left="360"/>
        <w:rPr>
          <w:lang w:bidi="en-US"/>
        </w:rPr>
      </w:pPr>
      <w:r w:rsidRPr="003639B8">
        <w:rPr>
          <w:lang w:bidi="en-US"/>
        </w:rPr>
        <w:t xml:space="preserve">ve výši nespotřebované dotace odpovídající poměrné části období, po které nebylo zajištěno poskytování služby dle podmínek </w:t>
      </w:r>
      <w:r w:rsidR="007646CD" w:rsidRPr="003639B8">
        <w:rPr>
          <w:lang w:bidi="en-US"/>
        </w:rPr>
        <w:t xml:space="preserve">Pověření nebo </w:t>
      </w:r>
      <w:r w:rsidR="00E0393C" w:rsidRPr="003639B8">
        <w:rPr>
          <w:lang w:bidi="en-US"/>
        </w:rPr>
        <w:t xml:space="preserve">této Smlouvy </w:t>
      </w:r>
      <w:r w:rsidRPr="003639B8">
        <w:rPr>
          <w:lang w:bidi="en-US"/>
        </w:rPr>
        <w:t xml:space="preserve">nebo nižší s ohledem na příjmy z ostatních zdrojů, které byly posuzovány při poskytnutí dotace, při porušení </w:t>
      </w:r>
      <w:r w:rsidR="00E0393C" w:rsidRPr="003639B8">
        <w:rPr>
          <w:lang w:bidi="en-US"/>
        </w:rPr>
        <w:t xml:space="preserve">povinnosti stanovené </w:t>
      </w:r>
      <w:r w:rsidRPr="003639B8">
        <w:rPr>
          <w:lang w:bidi="en-US"/>
        </w:rPr>
        <w:t>v </w:t>
      </w:r>
      <w:r w:rsidR="00C709CC" w:rsidRPr="003639B8">
        <w:rPr>
          <w:lang w:bidi="en-US"/>
        </w:rPr>
        <w:t>čl. 9 odst. 5</w:t>
      </w:r>
      <w:r w:rsidRPr="003639B8">
        <w:rPr>
          <w:lang w:bidi="en-US"/>
        </w:rPr>
        <w:t>, písm. e)</w:t>
      </w:r>
      <w:r w:rsidR="00E0393C" w:rsidRPr="003639B8">
        <w:rPr>
          <w:lang w:bidi="en-US"/>
        </w:rPr>
        <w:t xml:space="preserve"> této Smlouvy</w:t>
      </w:r>
      <w:r w:rsidRPr="003639B8">
        <w:rPr>
          <w:lang w:bidi="en-US"/>
        </w:rPr>
        <w:t>;</w:t>
      </w:r>
    </w:p>
    <w:p w:rsidR="001F0A59" w:rsidRPr="003639B8" w:rsidRDefault="00942B33" w:rsidP="009B29F5">
      <w:pPr>
        <w:pStyle w:val="Nadpis2"/>
        <w:keepNext w:val="0"/>
        <w:numPr>
          <w:ilvl w:val="0"/>
          <w:numId w:val="38"/>
        </w:numPr>
        <w:ind w:left="357" w:hanging="357"/>
        <w:rPr>
          <w:lang w:bidi="en-US"/>
        </w:rPr>
      </w:pPr>
      <w:r w:rsidRPr="003639B8">
        <w:rPr>
          <w:lang w:bidi="en-US"/>
        </w:rPr>
        <w:t>ve výši až 10 % poskytnuté dotace při porušení</w:t>
      </w:r>
      <w:r w:rsidR="00E0393C" w:rsidRPr="003639B8">
        <w:rPr>
          <w:lang w:bidi="en-US"/>
        </w:rPr>
        <w:t xml:space="preserve"> povinnosti</w:t>
      </w:r>
      <w:r w:rsidRPr="003639B8">
        <w:rPr>
          <w:lang w:bidi="en-US"/>
        </w:rPr>
        <w:t xml:space="preserve"> </w:t>
      </w:r>
      <w:r w:rsidR="00E0393C" w:rsidRPr="003639B8">
        <w:rPr>
          <w:lang w:bidi="en-US"/>
        </w:rPr>
        <w:t xml:space="preserve">stanovené </w:t>
      </w:r>
      <w:r w:rsidRPr="003639B8">
        <w:rPr>
          <w:lang w:bidi="en-US"/>
        </w:rPr>
        <w:t>v </w:t>
      </w:r>
      <w:r w:rsidR="00C709CC" w:rsidRPr="003639B8">
        <w:rPr>
          <w:lang w:bidi="en-US"/>
        </w:rPr>
        <w:t>čl. 9 odst. 5,</w:t>
      </w:r>
      <w:r w:rsidRPr="003639B8">
        <w:rPr>
          <w:lang w:bidi="en-US"/>
        </w:rPr>
        <w:t xml:space="preserve"> písm. c)</w:t>
      </w:r>
      <w:r w:rsidR="00E0393C" w:rsidRPr="003639B8">
        <w:rPr>
          <w:lang w:bidi="en-US"/>
        </w:rPr>
        <w:t xml:space="preserve"> této Smlouvy</w:t>
      </w:r>
      <w:r w:rsidR="006B297B" w:rsidRPr="003639B8">
        <w:rPr>
          <w:lang w:bidi="en-US"/>
        </w:rPr>
        <w:t>;</w:t>
      </w:r>
    </w:p>
    <w:p w:rsidR="001F0A59" w:rsidRPr="003639B8" w:rsidRDefault="00942B33">
      <w:pPr>
        <w:pStyle w:val="Nadpis2"/>
        <w:keepNext w:val="0"/>
        <w:keepLines w:val="0"/>
        <w:numPr>
          <w:ilvl w:val="0"/>
          <w:numId w:val="38"/>
        </w:numPr>
        <w:ind w:left="360"/>
        <w:rPr>
          <w:lang w:bidi="en-US"/>
        </w:rPr>
      </w:pPr>
      <w:r w:rsidRPr="003639B8">
        <w:rPr>
          <w:lang w:bidi="en-US"/>
        </w:rPr>
        <w:t xml:space="preserve">ve výši částky, kterou je </w:t>
      </w:r>
      <w:r w:rsidR="00E0393C" w:rsidRPr="003639B8">
        <w:rPr>
          <w:lang w:bidi="en-US"/>
        </w:rPr>
        <w:t xml:space="preserve">Příjemce </w:t>
      </w:r>
      <w:r w:rsidRPr="003639B8">
        <w:rPr>
          <w:lang w:bidi="en-US"/>
        </w:rPr>
        <w:t xml:space="preserve">povinen vrátit v případě porušení </w:t>
      </w:r>
      <w:r w:rsidR="00522C10" w:rsidRPr="003639B8">
        <w:rPr>
          <w:lang w:bidi="en-US"/>
        </w:rPr>
        <w:t xml:space="preserve">stanoveného </w:t>
      </w:r>
      <w:r w:rsidRPr="003639B8">
        <w:rPr>
          <w:lang w:bidi="en-US"/>
        </w:rPr>
        <w:t>v </w:t>
      </w:r>
      <w:r w:rsidR="00C709CC" w:rsidRPr="003639B8">
        <w:rPr>
          <w:lang w:bidi="en-US"/>
        </w:rPr>
        <w:t>čl. 9 odst. 5</w:t>
      </w:r>
      <w:r w:rsidRPr="003639B8">
        <w:rPr>
          <w:lang w:bidi="en-US"/>
        </w:rPr>
        <w:t>, písm. k)</w:t>
      </w:r>
      <w:r w:rsidR="00522C10" w:rsidRPr="003639B8">
        <w:rPr>
          <w:lang w:bidi="en-US"/>
        </w:rPr>
        <w:t xml:space="preserve"> této Smlouvy</w:t>
      </w:r>
      <w:r w:rsidRPr="003639B8">
        <w:rPr>
          <w:lang w:bidi="en-US"/>
        </w:rPr>
        <w:t>.</w:t>
      </w:r>
    </w:p>
    <w:p w:rsidR="001F0A59" w:rsidRPr="003639B8" w:rsidRDefault="00D45BBA">
      <w:pPr>
        <w:pStyle w:val="Nadpis2"/>
        <w:keepNext w:val="0"/>
        <w:keepLines w:val="0"/>
      </w:pPr>
      <w:r w:rsidRPr="003639B8">
        <w:t>Nedodržení termínu pro finanční vypořádání dotace nebo neprovedení finančního vypořádání dotace je důvodem pro nepřidělení dotace na další rok.</w:t>
      </w:r>
    </w:p>
    <w:p w:rsidR="001F0A59" w:rsidRPr="003639B8" w:rsidRDefault="00C20FBC">
      <w:pPr>
        <w:pStyle w:val="Nadpis2"/>
        <w:keepNext w:val="0"/>
        <w:keepLines w:val="0"/>
      </w:pPr>
      <w:r w:rsidRPr="003639B8">
        <w:t xml:space="preserve">Příjemce je povinen převést požadovanou částku na účet Poskytovatele nejpozději do </w:t>
      </w:r>
      <w:r w:rsidR="0052388C" w:rsidRPr="003639B8">
        <w:t>30</w:t>
      </w:r>
      <w:r w:rsidR="00522C10" w:rsidRPr="003639B8">
        <w:t xml:space="preserve"> (třiceti)</w:t>
      </w:r>
      <w:r w:rsidR="0052388C" w:rsidRPr="003639B8">
        <w:t xml:space="preserve"> </w:t>
      </w:r>
      <w:r w:rsidRPr="003639B8">
        <w:t>dnů ode dne doručení výzvy k vrácení dotace nebo její poměrné části</w:t>
      </w:r>
      <w:r w:rsidR="0016671B" w:rsidRPr="003639B8">
        <w:t xml:space="preserve"> (rozhodující je okamžik připsání prostředků na bankovní účet </w:t>
      </w:r>
      <w:r w:rsidR="00690840" w:rsidRPr="003639B8">
        <w:t>Poskytovatele</w:t>
      </w:r>
      <w:r w:rsidR="0016671B" w:rsidRPr="003639B8">
        <w:t>)</w:t>
      </w:r>
      <w:r w:rsidRPr="003639B8">
        <w:t>.</w:t>
      </w:r>
    </w:p>
    <w:p w:rsidR="001F0A59" w:rsidRPr="003639B8" w:rsidRDefault="001F0A59">
      <w:pPr>
        <w:rPr>
          <w:rFonts w:asciiTheme="minorHAnsi" w:hAnsiTheme="minorHAnsi"/>
        </w:rPr>
      </w:pPr>
    </w:p>
    <w:p w:rsidR="001F0A59" w:rsidRPr="003639B8" w:rsidRDefault="00A510DB">
      <w:pPr>
        <w:pStyle w:val="Nadpis1"/>
        <w:keepNext w:val="0"/>
        <w:rPr>
          <w:rFonts w:asciiTheme="minorHAnsi" w:hAnsiTheme="minorHAnsi"/>
        </w:rPr>
      </w:pPr>
      <w:r w:rsidRPr="003639B8">
        <w:rPr>
          <w:rFonts w:asciiTheme="minorHAnsi" w:hAnsiTheme="minorHAnsi"/>
        </w:rPr>
        <w:t xml:space="preserve">Předčasné ukončení </w:t>
      </w:r>
      <w:r w:rsidR="00A167F4" w:rsidRPr="003639B8">
        <w:rPr>
          <w:rFonts w:asciiTheme="minorHAnsi" w:hAnsiTheme="minorHAnsi"/>
        </w:rPr>
        <w:t>Smlouvy</w:t>
      </w:r>
    </w:p>
    <w:p w:rsidR="001F0A59" w:rsidRPr="003639B8" w:rsidRDefault="00537ECB">
      <w:pPr>
        <w:pStyle w:val="Nadpis2"/>
        <w:keepNext w:val="0"/>
        <w:keepLines w:val="0"/>
      </w:pPr>
      <w:r w:rsidRPr="003639B8">
        <w:t>Závazkový vztah založený touto S</w:t>
      </w:r>
      <w:r w:rsidR="00356598" w:rsidRPr="003639B8">
        <w:t>mlouvou</w:t>
      </w:r>
      <w:r w:rsidR="00DA1C48" w:rsidRPr="003639B8">
        <w:t xml:space="preserve"> lze ukončit na základě dohody S</w:t>
      </w:r>
      <w:r w:rsidR="00356598" w:rsidRPr="003639B8">
        <w:t>mluv</w:t>
      </w:r>
      <w:r w:rsidR="00A510DB" w:rsidRPr="003639B8">
        <w:t>ních stran nebo odstoupením od S</w:t>
      </w:r>
      <w:r w:rsidR="00356598" w:rsidRPr="003639B8">
        <w:t xml:space="preserve">mlouvy učiněném jednou ze </w:t>
      </w:r>
      <w:r w:rsidR="00A167F4" w:rsidRPr="003639B8">
        <w:t xml:space="preserve">Smluvních </w:t>
      </w:r>
      <w:r w:rsidR="00356598" w:rsidRPr="003639B8">
        <w:t>stran.</w:t>
      </w:r>
    </w:p>
    <w:p w:rsidR="001F0A59" w:rsidRPr="003639B8" w:rsidRDefault="00356598">
      <w:pPr>
        <w:pStyle w:val="Nadpis2"/>
        <w:keepNext w:val="0"/>
        <w:keepLines w:val="0"/>
      </w:pPr>
      <w:r w:rsidRPr="003639B8">
        <w:t>Posk</w:t>
      </w:r>
      <w:r w:rsidR="00A510DB" w:rsidRPr="003639B8">
        <w:t>ytovatel je oprávněn od S</w:t>
      </w:r>
      <w:r w:rsidRPr="003639B8">
        <w:t>mlouvy odstoupit i před její</w:t>
      </w:r>
      <w:r w:rsidR="00537ECB" w:rsidRPr="003639B8">
        <w:t>m řádným ukončením, a to pokud P</w:t>
      </w:r>
      <w:r w:rsidRPr="003639B8">
        <w:t xml:space="preserve">říjemce </w:t>
      </w:r>
      <w:r w:rsidR="00320173" w:rsidRPr="003639B8">
        <w:t xml:space="preserve">závažným způsobem poruší </w:t>
      </w:r>
      <w:r w:rsidR="00A167F4" w:rsidRPr="003639B8">
        <w:t xml:space="preserve">svoje </w:t>
      </w:r>
      <w:r w:rsidRPr="003639B8">
        <w:t>pov</w:t>
      </w:r>
      <w:r w:rsidR="00320173" w:rsidRPr="003639B8">
        <w:t>innosti</w:t>
      </w:r>
      <w:r w:rsidR="00537ECB" w:rsidRPr="003639B8">
        <w:t>, které mu stanoví tato S</w:t>
      </w:r>
      <w:r w:rsidRPr="003639B8">
        <w:t xml:space="preserve">mlouva </w:t>
      </w:r>
      <w:r w:rsidR="006A23FF" w:rsidRPr="003639B8">
        <w:t>či Pověření</w:t>
      </w:r>
      <w:r w:rsidR="00320173" w:rsidRPr="003639B8">
        <w:t>, případně poruší povinnost a nesjedná nápravu ani v přiměřené dodatečné lhůtě</w:t>
      </w:r>
      <w:r w:rsidRPr="003639B8">
        <w:t>.</w:t>
      </w:r>
    </w:p>
    <w:p w:rsidR="001F0A59" w:rsidRPr="003639B8" w:rsidRDefault="00A510DB">
      <w:pPr>
        <w:pStyle w:val="Nadpis2"/>
        <w:keepNext w:val="0"/>
        <w:keepLines w:val="0"/>
      </w:pPr>
      <w:r w:rsidRPr="003639B8">
        <w:t xml:space="preserve">Příjemce je </w:t>
      </w:r>
      <w:r w:rsidR="00622C26" w:rsidRPr="003639B8">
        <w:t xml:space="preserve">oprávněn </w:t>
      </w:r>
      <w:r w:rsidRPr="003639B8">
        <w:t>od S</w:t>
      </w:r>
      <w:r w:rsidR="00622C26" w:rsidRPr="003639B8">
        <w:t>mlouvy</w:t>
      </w:r>
      <w:r w:rsidR="00356598" w:rsidRPr="003639B8">
        <w:t xml:space="preserve"> odstoupit, pokud</w:t>
      </w:r>
      <w:r w:rsidR="000A0D47" w:rsidRPr="003639B8">
        <w:rPr>
          <w:rFonts w:cs="Times New Roman"/>
          <w:szCs w:val="24"/>
        </w:rPr>
        <w:t xml:space="preserve"> </w:t>
      </w:r>
      <w:r w:rsidR="00391ABA" w:rsidRPr="003639B8">
        <w:rPr>
          <w:rFonts w:cs="Times New Roman"/>
          <w:szCs w:val="24"/>
        </w:rPr>
        <w:t xml:space="preserve">Poskytovatel </w:t>
      </w:r>
      <w:r w:rsidR="00356598" w:rsidRPr="003639B8">
        <w:t>porušuje pov</w:t>
      </w:r>
      <w:r w:rsidR="00537ECB" w:rsidRPr="003639B8">
        <w:t>innosti, které mu stanoví tato S</w:t>
      </w:r>
      <w:r w:rsidR="00356598" w:rsidRPr="003639B8">
        <w:t>mlouva</w:t>
      </w:r>
      <w:r w:rsidR="000A0D47" w:rsidRPr="003639B8">
        <w:t xml:space="preserve"> (zejména nepřevede</w:t>
      </w:r>
      <w:r w:rsidR="00537ECB" w:rsidRPr="003639B8">
        <w:t>-li</w:t>
      </w:r>
      <w:r w:rsidR="000A0D47" w:rsidRPr="003639B8">
        <w:t xml:space="preserve"> prostředky dotace </w:t>
      </w:r>
      <w:r w:rsidR="000A78D1" w:rsidRPr="003639B8">
        <w:t>ve sjednané výši na účet Příjemce do 2</w:t>
      </w:r>
      <w:r w:rsidR="00561207" w:rsidRPr="003639B8">
        <w:t xml:space="preserve"> (dvou)</w:t>
      </w:r>
      <w:r w:rsidR="000A78D1" w:rsidRPr="003639B8">
        <w:t xml:space="preserve"> měsíců po uplynutí</w:t>
      </w:r>
      <w:r w:rsidR="000A0D47" w:rsidRPr="003639B8">
        <w:t xml:space="preserve"> </w:t>
      </w:r>
      <w:r w:rsidR="00391ABA" w:rsidRPr="003639B8">
        <w:t xml:space="preserve">termínu </w:t>
      </w:r>
      <w:r w:rsidR="000A78D1" w:rsidRPr="003639B8">
        <w:t>stanoveného v </w:t>
      </w:r>
      <w:r w:rsidR="00561207" w:rsidRPr="003639B8">
        <w:t xml:space="preserve">čl. </w:t>
      </w:r>
      <w:r w:rsidR="00622C26" w:rsidRPr="003639B8">
        <w:t>5 odst. 2 této</w:t>
      </w:r>
      <w:r w:rsidR="000A78D1" w:rsidRPr="003639B8">
        <w:t xml:space="preserve"> Smlouvy</w:t>
      </w:r>
      <w:r w:rsidR="00DA0650" w:rsidRPr="003639B8">
        <w:t>)</w:t>
      </w:r>
      <w:r w:rsidR="000A78D1" w:rsidRPr="003639B8">
        <w:t>.</w:t>
      </w:r>
      <w:r w:rsidR="00622C26" w:rsidRPr="003639B8">
        <w:t xml:space="preserve"> Věta první tohoto odstavce</w:t>
      </w:r>
      <w:r w:rsidR="00561207" w:rsidRPr="003639B8">
        <w:t xml:space="preserve"> Smlouvy</w:t>
      </w:r>
      <w:r w:rsidR="00622C26" w:rsidRPr="003639B8">
        <w:t xml:space="preserve"> se nepoužije, je-li dán důvod pro pozastavení poskytnutí dotace dle § 22 odst. 5 rozpočtových pravidel.  </w:t>
      </w:r>
    </w:p>
    <w:p w:rsidR="000F52C2" w:rsidRPr="003639B8" w:rsidRDefault="004B6BD4">
      <w:pPr>
        <w:pStyle w:val="Nadpis2"/>
      </w:pPr>
      <w:r w:rsidRPr="003639B8">
        <w:t>Poskytovatel je oprávněn od Smlouvy odstoupit v případě, že je mu doručeno oznámení dle čl. 7.14. této Smlouvy.</w:t>
      </w:r>
    </w:p>
    <w:p w:rsidR="001F0A59" w:rsidRPr="003639B8" w:rsidRDefault="00537ECB">
      <w:pPr>
        <w:pStyle w:val="Nadpis2"/>
        <w:keepNext w:val="0"/>
        <w:keepLines w:val="0"/>
      </w:pPr>
      <w:r w:rsidRPr="003639B8">
        <w:t>V případě odstoupení od S</w:t>
      </w:r>
      <w:r w:rsidR="00DA1C48" w:rsidRPr="003639B8">
        <w:t>mlouvy jedné ze S</w:t>
      </w:r>
      <w:r w:rsidR="000A0D47" w:rsidRPr="003639B8">
        <w:t xml:space="preserve">mluvních stran je </w:t>
      </w:r>
      <w:r w:rsidRPr="003639B8">
        <w:t>Příjemce</w:t>
      </w:r>
      <w:r w:rsidR="000A0D47" w:rsidRPr="003639B8">
        <w:t xml:space="preserve"> povinen vrátit prostředky dotace na účet Poskytovatele nejpozději do </w:t>
      </w:r>
      <w:r w:rsidR="00FE3046" w:rsidRPr="003639B8">
        <w:t>30</w:t>
      </w:r>
      <w:r w:rsidR="00561207" w:rsidRPr="003639B8">
        <w:t xml:space="preserve"> (třiceti)</w:t>
      </w:r>
      <w:r w:rsidR="000A0D47" w:rsidRPr="003639B8">
        <w:t xml:space="preserve"> dnů ode dne doručení odstoupení od Smlouvy.</w:t>
      </w:r>
      <w:r w:rsidR="00BA3183" w:rsidRPr="003639B8">
        <w:t xml:space="preserve"> Věta první tohoto odstavce</w:t>
      </w:r>
      <w:r w:rsidR="00561207" w:rsidRPr="003639B8">
        <w:t xml:space="preserve"> Smlouvy</w:t>
      </w:r>
      <w:r w:rsidR="00BA3183" w:rsidRPr="003639B8">
        <w:t xml:space="preserve"> se nevztahuje na již vyčerpanou část dotace.</w:t>
      </w:r>
    </w:p>
    <w:p w:rsidR="001F0A59" w:rsidRPr="003639B8" w:rsidRDefault="00AE331F">
      <w:pPr>
        <w:pStyle w:val="Nadpis2"/>
        <w:keepNext w:val="0"/>
        <w:keepLines w:val="0"/>
      </w:pPr>
      <w:r w:rsidRPr="003639B8">
        <w:t xml:space="preserve">Nevrátí-li Příjemce dotaci v tomto termínu, považují se tyto finanční prostředky za zadržené ve smyslu </w:t>
      </w:r>
      <w:r w:rsidR="00537ECB" w:rsidRPr="003639B8">
        <w:t xml:space="preserve">§ 22 </w:t>
      </w:r>
      <w:r w:rsidR="003C72C4" w:rsidRPr="003639B8">
        <w:t>rozpočtových pravidel</w:t>
      </w:r>
      <w:r w:rsidR="00537ECB" w:rsidRPr="003639B8">
        <w:t>, a P</w:t>
      </w:r>
      <w:r w:rsidRPr="003639B8">
        <w:t>oskytovatel bude postupovat v souladu s tímto ustanovením</w:t>
      </w:r>
      <w:r w:rsidR="00537ECB" w:rsidRPr="003639B8">
        <w:t xml:space="preserve"> zákona</w:t>
      </w:r>
      <w:r w:rsidRPr="003639B8">
        <w:t>.</w:t>
      </w:r>
    </w:p>
    <w:p w:rsidR="001F0A59" w:rsidRPr="003639B8" w:rsidRDefault="001F0A59">
      <w:pPr>
        <w:rPr>
          <w:rFonts w:asciiTheme="minorHAnsi" w:hAnsiTheme="minorHAnsi"/>
        </w:rPr>
      </w:pPr>
    </w:p>
    <w:p w:rsidR="001F0A59" w:rsidRPr="003639B8" w:rsidRDefault="00AE331F" w:rsidP="009B29F5">
      <w:pPr>
        <w:pStyle w:val="Nadpis1"/>
        <w:keepNext w:val="0"/>
        <w:keepLines/>
        <w:rPr>
          <w:rFonts w:asciiTheme="minorHAnsi" w:hAnsiTheme="minorHAnsi"/>
        </w:rPr>
      </w:pPr>
      <w:r w:rsidRPr="003639B8">
        <w:rPr>
          <w:rFonts w:asciiTheme="minorHAnsi" w:hAnsiTheme="minorHAnsi"/>
        </w:rPr>
        <w:t>Práva k předmětům duševníh</w:t>
      </w:r>
      <w:r w:rsidR="00DE4264" w:rsidRPr="003639B8">
        <w:rPr>
          <w:rFonts w:asciiTheme="minorHAnsi" w:hAnsiTheme="minorHAnsi"/>
        </w:rPr>
        <w:t>o vlastnictví, autorská práva</w:t>
      </w:r>
    </w:p>
    <w:p w:rsidR="001F0A59" w:rsidRPr="003639B8" w:rsidRDefault="00FD79BC" w:rsidP="009B29F5">
      <w:pPr>
        <w:pStyle w:val="Nadpis2"/>
        <w:keepNext w:val="0"/>
      </w:pPr>
      <w:r w:rsidRPr="003639B8">
        <w:t xml:space="preserve">Vzniknou-li při plnění této Smlouvy </w:t>
      </w:r>
      <w:r w:rsidR="00AE331F" w:rsidRPr="003639B8">
        <w:t>Příjemci práva k předmětu duševního vlastnictví související s poskytovaným předmětem plnění, vzniká Poskytovateli současně se vznikem takového práva k předmětu duševního vlastnictví nevýhradní právo k bezplatnému užití tohoto předmětu duševn</w:t>
      </w:r>
      <w:r w:rsidR="00537ECB" w:rsidRPr="003639B8">
        <w:t>ího vlastnictví (nevýhradní bez</w:t>
      </w:r>
      <w:r w:rsidR="00AE331F" w:rsidRPr="003639B8">
        <w:t xml:space="preserve">platná licence) a současně také právo bezplatně poskytnout toto své oprávnění </w:t>
      </w:r>
      <w:r w:rsidR="00525D98" w:rsidRPr="003639B8">
        <w:t>třetí</w:t>
      </w:r>
      <w:r w:rsidR="00AE331F" w:rsidRPr="003639B8">
        <w:t xml:space="preserve"> osobě</w:t>
      </w:r>
      <w:r w:rsidR="00525D98" w:rsidRPr="003639B8">
        <w:t>. Příjemce je povine</w:t>
      </w:r>
      <w:r w:rsidR="00AE331F" w:rsidRPr="003639B8">
        <w:t xml:space="preserve">n bez zbytečného odkladu informovat </w:t>
      </w:r>
      <w:r w:rsidR="00525D98" w:rsidRPr="003639B8">
        <w:t>Poskytovatele</w:t>
      </w:r>
      <w:r w:rsidR="00AE331F" w:rsidRPr="003639B8">
        <w:t xml:space="preserve"> o vzniku takových práv. </w:t>
      </w:r>
    </w:p>
    <w:p w:rsidR="00561207" w:rsidRPr="003639B8" w:rsidRDefault="00561207">
      <w:pPr>
        <w:spacing w:before="0" w:after="0" w:line="240" w:lineRule="auto"/>
        <w:jc w:val="left"/>
      </w:pPr>
    </w:p>
    <w:p w:rsidR="001F0A59" w:rsidRPr="003639B8" w:rsidRDefault="00DE4264">
      <w:pPr>
        <w:pStyle w:val="Nadpis1"/>
        <w:keepNext w:val="0"/>
        <w:rPr>
          <w:rFonts w:asciiTheme="minorHAnsi" w:hAnsiTheme="minorHAnsi"/>
          <w:color w:val="000000" w:themeColor="text1"/>
        </w:rPr>
      </w:pPr>
      <w:r w:rsidRPr="003639B8">
        <w:rPr>
          <w:rFonts w:asciiTheme="minorHAnsi" w:hAnsiTheme="minorHAnsi"/>
        </w:rPr>
        <w:t>Poskytování informací</w:t>
      </w:r>
      <w:r w:rsidR="00397675" w:rsidRPr="003639B8">
        <w:rPr>
          <w:rFonts w:asciiTheme="minorHAnsi" w:hAnsiTheme="minorHAnsi"/>
          <w:color w:val="000000" w:themeColor="text1"/>
        </w:rPr>
        <w:t>, obchodní tajemství, mlčenlivost</w:t>
      </w:r>
    </w:p>
    <w:p w:rsidR="001F0A59" w:rsidRPr="003639B8" w:rsidRDefault="00391ABA">
      <w:pPr>
        <w:pStyle w:val="Nadpis2"/>
        <w:keepNext w:val="0"/>
        <w:keepLines w:val="0"/>
      </w:pPr>
      <w:r w:rsidRPr="003639B8">
        <w:t>Příjemce dává touto Smlouvou P</w:t>
      </w:r>
      <w:r w:rsidR="00397675" w:rsidRPr="003639B8">
        <w:t>oskytovateli souhlas s využíváním údajů o službě a poskytováním informací o službě třetím osobám v rozsahu nezbytném pro účely administrace a pro účely informovanosti a publicity specifikovanými v příslušných právních</w:t>
      </w:r>
      <w:r w:rsidR="00C24DB3" w:rsidRPr="003639B8">
        <w:t xml:space="preserve"> předpisech, především v zákoně</w:t>
      </w:r>
      <w:r w:rsidR="00397675" w:rsidRPr="003639B8">
        <w:t xml:space="preserve"> č</w:t>
      </w:r>
      <w:r w:rsidR="00C24DB3" w:rsidRPr="003639B8">
        <w:t>.</w:t>
      </w:r>
      <w:r w:rsidR="00397675" w:rsidRPr="003639B8">
        <w:t xml:space="preserve"> 106/1999 Sb., o svobodném přístupu k informacím, ve znění pozdějších předpisů (dále jen „</w:t>
      </w:r>
      <w:r w:rsidR="00397675" w:rsidRPr="003639B8">
        <w:rPr>
          <w:b/>
          <w:i/>
        </w:rPr>
        <w:t>zákon o svobodném přístupu k</w:t>
      </w:r>
      <w:r w:rsidR="00991576" w:rsidRPr="003639B8">
        <w:rPr>
          <w:b/>
          <w:i/>
        </w:rPr>
        <w:t> </w:t>
      </w:r>
      <w:r w:rsidR="00397675" w:rsidRPr="003639B8">
        <w:rPr>
          <w:b/>
          <w:i/>
        </w:rPr>
        <w:t>informacím</w:t>
      </w:r>
      <w:r w:rsidR="00991576" w:rsidRPr="003639B8">
        <w:t>“</w:t>
      </w:r>
      <w:r w:rsidR="00397675" w:rsidRPr="003639B8">
        <w:t>)</w:t>
      </w:r>
      <w:r w:rsidR="005135A1" w:rsidRPr="003639B8">
        <w:t>.</w:t>
      </w:r>
    </w:p>
    <w:p w:rsidR="001F0A59" w:rsidRPr="003639B8" w:rsidRDefault="00397675">
      <w:pPr>
        <w:pStyle w:val="Nadpis2"/>
        <w:keepNext w:val="0"/>
        <w:keepLines w:val="0"/>
      </w:pPr>
      <w:r w:rsidRPr="003639B8">
        <w:lastRenderedPageBreak/>
        <w:t>Smluvní strany souhlasně prohlašují, že žádný údaj v této Smlouvě není považován za obchodní tajemství.</w:t>
      </w:r>
    </w:p>
    <w:p w:rsidR="001F0A59" w:rsidRPr="003639B8" w:rsidRDefault="00397675">
      <w:pPr>
        <w:pStyle w:val="Nadpis2"/>
        <w:keepNext w:val="0"/>
        <w:keepLines w:val="0"/>
      </w:pPr>
      <w:r w:rsidRPr="003639B8">
        <w:t xml:space="preserve">Příjemce bere na vědomí a souhlasí, že Poskytovatel je oprávněn, pokud postupuje dle zákona o svobodném přístupu k informacím, </w:t>
      </w:r>
      <w:r w:rsidR="00824DFE" w:rsidRPr="003639B8">
        <w:t>poskytovat veškeré informace o této Smlouvě, jakož i o jiných údajích z tohoto závazkového v</w:t>
      </w:r>
      <w:r w:rsidR="00D46DBD" w:rsidRPr="003639B8">
        <w:t>z</w:t>
      </w:r>
      <w:r w:rsidR="00824DFE" w:rsidRPr="003639B8">
        <w:t>tahu vyplývajících (např. o daňových dokl</w:t>
      </w:r>
      <w:r w:rsidR="00275227" w:rsidRPr="003639B8">
        <w:t xml:space="preserve">adech, předávacích protokolech </w:t>
      </w:r>
      <w:r w:rsidR="00824DFE" w:rsidRPr="003639B8">
        <w:t>či jiných písemnostech); žádné z těchto údajů nepodléhají povinnosti mlčenlivosti nebo jinému postupu směřujícímu k ochraně před zneužitím a zveřejněním.</w:t>
      </w:r>
    </w:p>
    <w:p w:rsidR="001F0A59" w:rsidRPr="003639B8" w:rsidRDefault="001F0A59">
      <w:pPr>
        <w:rPr>
          <w:rFonts w:asciiTheme="minorHAnsi" w:hAnsiTheme="minorHAnsi"/>
        </w:rPr>
      </w:pPr>
    </w:p>
    <w:p w:rsidR="001F0A59" w:rsidRPr="003639B8" w:rsidRDefault="00DA1C48">
      <w:pPr>
        <w:pStyle w:val="Nadpis1"/>
        <w:keepNext w:val="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Komunikace S</w:t>
      </w:r>
      <w:r w:rsidR="004F66F3" w:rsidRPr="003639B8">
        <w:rPr>
          <w:rFonts w:asciiTheme="minorHAnsi" w:hAnsiTheme="minorHAnsi"/>
        </w:rPr>
        <w:t>mluvních stran</w:t>
      </w:r>
    </w:p>
    <w:p w:rsidR="001F0A59" w:rsidRPr="003639B8" w:rsidRDefault="00DA1C48">
      <w:pPr>
        <w:pStyle w:val="Nadpis2"/>
        <w:keepNext w:val="0"/>
        <w:keepLines w:val="0"/>
      </w:pPr>
      <w:r w:rsidRPr="003639B8">
        <w:t>Veškerá komunikace mezi S</w:t>
      </w:r>
      <w:r w:rsidR="004F66F3" w:rsidRPr="003639B8">
        <w:t xml:space="preserve">mluvními stranami dle této Smlouvy je činěna v písemné formě nebo prostřednictvím elektronické pošty a bude označena číslem Smlouvy. Písemnou komunikací se rozumí komunikace prostřednictvím provozovatele poštovních služeb nebo kurýrní služby </w:t>
      </w:r>
      <w:r w:rsidR="00896958" w:rsidRPr="003639B8">
        <w:t>n</w:t>
      </w:r>
      <w:r w:rsidR="004F66F3" w:rsidRPr="003639B8">
        <w:t>a</w:t>
      </w:r>
      <w:r w:rsidRPr="003639B8">
        <w:t xml:space="preserve"> níže</w:t>
      </w:r>
      <w:r w:rsidR="00C13B0E" w:rsidRPr="003639B8">
        <w:t xml:space="preserve"> </w:t>
      </w:r>
      <w:r w:rsidRPr="003639B8">
        <w:t>uvedené kontaktní adresy S</w:t>
      </w:r>
      <w:r w:rsidR="004F66F3" w:rsidRPr="003639B8">
        <w:t xml:space="preserve">mluvních stran nebo na takovou </w:t>
      </w:r>
      <w:r w:rsidR="00065729" w:rsidRPr="003639B8">
        <w:t>jinou adresu, kterou příslušná S</w:t>
      </w:r>
      <w:r w:rsidR="004F66F3" w:rsidRPr="003639B8">
        <w:t>mluvní strana určí v písemném oznám</w:t>
      </w:r>
      <w:r w:rsidR="00A510DB" w:rsidRPr="003639B8">
        <w:t>ení zaslaném v souladu s touto S</w:t>
      </w:r>
      <w:r w:rsidR="004F66F3" w:rsidRPr="003639B8">
        <w:t>mlouvou.</w:t>
      </w:r>
    </w:p>
    <w:p w:rsidR="001F0A59" w:rsidRPr="003639B8" w:rsidRDefault="002047C5">
      <w:pPr>
        <w:pStyle w:val="Nadpis2"/>
        <w:keepNext w:val="0"/>
        <w:keepLines w:val="0"/>
      </w:pPr>
      <w:r w:rsidRPr="003639B8">
        <w:t>Poskytovatel:</w:t>
      </w:r>
      <w:r w:rsidRPr="003639B8">
        <w:rPr>
          <w:rFonts w:cs="Calibri"/>
        </w:rPr>
        <w:t xml:space="preserve"> </w:t>
      </w:r>
      <w:r w:rsidRPr="003639B8">
        <w:t>Královéhradecký kraj</w:t>
      </w:r>
      <w:r w:rsidR="00690840" w:rsidRPr="003639B8">
        <w:t xml:space="preserve"> </w:t>
      </w:r>
    </w:p>
    <w:p w:rsidR="001F0A59" w:rsidRPr="003639B8" w:rsidRDefault="002047C5">
      <w:pPr>
        <w:pStyle w:val="Nadpis2"/>
        <w:keepNext w:val="0"/>
        <w:keepLines w:val="0"/>
        <w:numPr>
          <w:ilvl w:val="0"/>
          <w:numId w:val="0"/>
        </w:numPr>
        <w:spacing w:before="0"/>
      </w:pPr>
      <w:r w:rsidRPr="003639B8">
        <w:t>se sídlem: Pivovarské náměstí 1245/2, 500 03 Hradec Králové</w:t>
      </w:r>
    </w:p>
    <w:p w:rsidR="001F0A59" w:rsidRPr="003639B8" w:rsidRDefault="00346D7B">
      <w:pPr>
        <w:pStyle w:val="Nadpis2"/>
        <w:keepNext w:val="0"/>
        <w:keepLines w:val="0"/>
        <w:numPr>
          <w:ilvl w:val="0"/>
          <w:numId w:val="0"/>
        </w:numPr>
        <w:spacing w:before="0"/>
      </w:pPr>
      <w:r w:rsidRPr="003639B8">
        <w:t xml:space="preserve">kontaktní osoba: </w:t>
      </w:r>
      <w:r w:rsidR="00CC5433" w:rsidRPr="003639B8">
        <w:t>Mgr.</w:t>
      </w:r>
      <w:r w:rsidR="00561207" w:rsidRPr="003639B8">
        <w:t xml:space="preserve"> </w:t>
      </w:r>
      <w:r w:rsidR="00CC5433" w:rsidRPr="003639B8">
        <w:t>Robert Černý</w:t>
      </w:r>
    </w:p>
    <w:p w:rsidR="001F0A59" w:rsidRPr="003639B8" w:rsidRDefault="00346D7B">
      <w:pPr>
        <w:pStyle w:val="Nadpis2"/>
        <w:keepNext w:val="0"/>
        <w:keepLines w:val="0"/>
        <w:numPr>
          <w:ilvl w:val="0"/>
          <w:numId w:val="0"/>
        </w:numPr>
        <w:spacing w:before="0"/>
      </w:pPr>
      <w:r w:rsidRPr="003639B8">
        <w:t>e-mail:</w:t>
      </w:r>
      <w:r w:rsidR="00CC5433" w:rsidRPr="003639B8">
        <w:t xml:space="preserve"> rcerny@kr-kralovehradecky.cz</w:t>
      </w:r>
    </w:p>
    <w:p w:rsidR="001F0A59" w:rsidRPr="003639B8" w:rsidRDefault="00346D7B">
      <w:pPr>
        <w:pStyle w:val="Nadpis2"/>
        <w:keepNext w:val="0"/>
        <w:keepLines w:val="0"/>
      </w:pPr>
      <w:r w:rsidRPr="003639B8">
        <w:t xml:space="preserve">Příjemce: </w:t>
      </w:r>
      <w:r w:rsidR="00D31983" w:rsidRPr="003639B8">
        <w:t>xx</w:t>
      </w:r>
    </w:p>
    <w:p w:rsidR="001F0A59" w:rsidRPr="003639B8" w:rsidRDefault="002047C5">
      <w:pPr>
        <w:rPr>
          <w:rFonts w:asciiTheme="minorHAnsi" w:hAnsiTheme="minorHAnsi"/>
        </w:rPr>
      </w:pPr>
      <w:r w:rsidRPr="003639B8">
        <w:rPr>
          <w:rFonts w:asciiTheme="minorHAnsi" w:hAnsiTheme="minorHAnsi"/>
        </w:rPr>
        <w:t>se sídlem:</w:t>
      </w:r>
      <w:r w:rsidR="00332FB5" w:rsidRPr="003639B8">
        <w:rPr>
          <w:rFonts w:asciiTheme="minorHAnsi" w:hAnsiTheme="minorHAnsi"/>
        </w:rPr>
        <w:t xml:space="preserve"> xx</w:t>
      </w:r>
    </w:p>
    <w:p w:rsidR="001F0A59" w:rsidRPr="003639B8" w:rsidRDefault="002047C5">
      <w:pPr>
        <w:rPr>
          <w:rFonts w:asciiTheme="minorHAnsi" w:hAnsiTheme="minorHAnsi"/>
        </w:rPr>
      </w:pPr>
      <w:r w:rsidRPr="003639B8">
        <w:rPr>
          <w:rFonts w:asciiTheme="minorHAnsi" w:hAnsiTheme="minorHAnsi"/>
        </w:rPr>
        <w:t>kontaktní osoba: xx</w:t>
      </w:r>
    </w:p>
    <w:p w:rsidR="001F0A59" w:rsidRPr="003639B8" w:rsidRDefault="002047C5">
      <w:pPr>
        <w:rPr>
          <w:rFonts w:asciiTheme="minorHAnsi" w:hAnsiTheme="minorHAnsi"/>
        </w:rPr>
      </w:pPr>
      <w:r w:rsidRPr="003639B8">
        <w:rPr>
          <w:rFonts w:asciiTheme="minorHAnsi" w:hAnsiTheme="minorHAnsi"/>
        </w:rPr>
        <w:t>e-mail: xx</w:t>
      </w:r>
    </w:p>
    <w:p w:rsidR="001F0A59" w:rsidRPr="003639B8" w:rsidRDefault="002047C5">
      <w:pPr>
        <w:pStyle w:val="Nadpis2"/>
        <w:keepNext w:val="0"/>
        <w:keepLines w:val="0"/>
      </w:pPr>
      <w:r w:rsidRPr="003639B8">
        <w:t>Výše uvedené adresy či spojení mohou být měněna jednostranný</w:t>
      </w:r>
      <w:r w:rsidR="00065729" w:rsidRPr="003639B8">
        <w:t>m písemným oznámením doručeným S</w:t>
      </w:r>
      <w:r w:rsidRPr="003639B8">
        <w:t>mluvní</w:t>
      </w:r>
      <w:r w:rsidR="00065729" w:rsidRPr="003639B8">
        <w:t xml:space="preserve"> stranou druhé S</w:t>
      </w:r>
      <w:r w:rsidRPr="003639B8">
        <w:t>mluvní straně s tím, že takováto změna se stane účinnou následující pracovní den po do</w:t>
      </w:r>
      <w:r w:rsidR="00065729" w:rsidRPr="003639B8">
        <w:t>ručení takového oznámení druhé S</w:t>
      </w:r>
      <w:r w:rsidRPr="003639B8">
        <w:t>mluvní straně.</w:t>
      </w:r>
    </w:p>
    <w:p w:rsidR="001F0A59" w:rsidRPr="003639B8" w:rsidRDefault="001F0A59">
      <w:pPr>
        <w:rPr>
          <w:rFonts w:asciiTheme="minorHAnsi" w:hAnsiTheme="minorHAnsi"/>
        </w:rPr>
      </w:pPr>
    </w:p>
    <w:p w:rsidR="001F0A59" w:rsidRPr="003639B8" w:rsidRDefault="002047C5">
      <w:pPr>
        <w:pStyle w:val="Nadpis1"/>
        <w:keepNext w:val="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Závěrečná ustanovení</w:t>
      </w:r>
    </w:p>
    <w:p w:rsidR="001F0A59" w:rsidRPr="003639B8" w:rsidRDefault="00170E24">
      <w:pPr>
        <w:pStyle w:val="Nadpis2"/>
        <w:keepNext w:val="0"/>
        <w:keepLines w:val="0"/>
      </w:pPr>
      <w:r w:rsidRPr="003639B8">
        <w:t>Příjemce bere na vědomí, že nedodržení termínu pro finanční vypořádání dotace nebo neprovedení finančního vypořádání dotace</w:t>
      </w:r>
      <w:r w:rsidR="00BB144B" w:rsidRPr="003639B8">
        <w:t xml:space="preserve"> je důvodem pro zamítnutí Ž</w:t>
      </w:r>
      <w:r w:rsidRPr="003639B8">
        <w:t>ádosti na další rok.</w:t>
      </w:r>
    </w:p>
    <w:p w:rsidR="001F0A59" w:rsidRPr="003639B8" w:rsidRDefault="00A510DB">
      <w:pPr>
        <w:pStyle w:val="Nadpis2"/>
        <w:keepNext w:val="0"/>
        <w:keepLines w:val="0"/>
      </w:pPr>
      <w:r w:rsidRPr="003639B8">
        <w:t>Není-li v této S</w:t>
      </w:r>
      <w:r w:rsidR="002047C5" w:rsidRPr="003639B8">
        <w:t xml:space="preserve">mlouvě uvedeno jinak, je při </w:t>
      </w:r>
      <w:r w:rsidR="00490A15" w:rsidRPr="003639B8">
        <w:t xml:space="preserve">jednáních </w:t>
      </w:r>
      <w:r w:rsidR="002047C5" w:rsidRPr="003639B8">
        <w:t>dle této S</w:t>
      </w:r>
      <w:r w:rsidR="00896958" w:rsidRPr="003639B8">
        <w:t xml:space="preserve">mlouvy oprávněna jednat </w:t>
      </w:r>
      <w:r w:rsidR="00490A15" w:rsidRPr="003639B8">
        <w:t xml:space="preserve">za </w:t>
      </w:r>
      <w:r w:rsidR="00896958" w:rsidRPr="003639B8">
        <w:t>P</w:t>
      </w:r>
      <w:r w:rsidR="002047C5" w:rsidRPr="003639B8">
        <w:t>oskytovatele osoba uvedená v záhlaví Smlouvy, nebo jiný pověřený zaměstnanec</w:t>
      </w:r>
      <w:r w:rsidR="00896958" w:rsidRPr="003639B8">
        <w:t xml:space="preserve"> P</w:t>
      </w:r>
      <w:r w:rsidR="002047C5" w:rsidRPr="003639B8">
        <w:t>oskytovatele.</w:t>
      </w:r>
    </w:p>
    <w:p w:rsidR="001F0A59" w:rsidRPr="003639B8" w:rsidRDefault="00065729">
      <w:pPr>
        <w:pStyle w:val="Nadpis2"/>
        <w:keepNext w:val="0"/>
        <w:keepLines w:val="0"/>
      </w:pPr>
      <w:r w:rsidRPr="003639B8">
        <w:t>Tato Smlouva zaniká dnem, kdy S</w:t>
      </w:r>
      <w:r w:rsidR="00BD37D3" w:rsidRPr="003639B8">
        <w:t>mluvní strany splní všechny povinnosti, které jim plynou z této Smlouvy.</w:t>
      </w:r>
    </w:p>
    <w:p w:rsidR="001F0A59" w:rsidRPr="003639B8" w:rsidRDefault="00BD37D3">
      <w:pPr>
        <w:pStyle w:val="Nadpis2"/>
        <w:keepNext w:val="0"/>
        <w:keepLines w:val="0"/>
      </w:pPr>
      <w:r w:rsidRPr="003639B8">
        <w:t xml:space="preserve">Práva a povinnosti z této Smlouvy vyplývající přecházejí na právní nástupce </w:t>
      </w:r>
      <w:r w:rsidR="00C13B0E" w:rsidRPr="003639B8">
        <w:t xml:space="preserve">Smluvních </w:t>
      </w:r>
      <w:r w:rsidRPr="003639B8">
        <w:t>stran</w:t>
      </w:r>
      <w:r w:rsidR="00A46D51" w:rsidRPr="003639B8">
        <w:t>, nelze je však smluvně převést na jinou osobu</w:t>
      </w:r>
      <w:r w:rsidRPr="003639B8">
        <w:t>.</w:t>
      </w:r>
    </w:p>
    <w:p w:rsidR="001F0A59" w:rsidRPr="003639B8" w:rsidRDefault="00BD37D3">
      <w:pPr>
        <w:pStyle w:val="Nadpis2"/>
        <w:keepNext w:val="0"/>
        <w:keepLines w:val="0"/>
      </w:pPr>
      <w:r w:rsidRPr="003639B8">
        <w:lastRenderedPageBreak/>
        <w:t>Jakékol</w:t>
      </w:r>
      <w:r w:rsidR="00A510DB" w:rsidRPr="003639B8">
        <w:t>i změny této S</w:t>
      </w:r>
      <w:r w:rsidRPr="003639B8">
        <w:t xml:space="preserve">mlouvy lze provádět pouze formou písemných, postupně číslovaných </w:t>
      </w:r>
      <w:r w:rsidR="00DA1C48" w:rsidRPr="003639B8">
        <w:t>dodatků na základě dohody obou S</w:t>
      </w:r>
      <w:r w:rsidRPr="003639B8">
        <w:t>mluvních stran.</w:t>
      </w:r>
    </w:p>
    <w:p w:rsidR="001F0A59" w:rsidRPr="003639B8" w:rsidRDefault="0026204C">
      <w:pPr>
        <w:pStyle w:val="Nadpis2"/>
        <w:keepNext w:val="0"/>
        <w:keepLines w:val="0"/>
        <w:tabs>
          <w:tab w:val="num" w:pos="709"/>
        </w:tabs>
      </w:pPr>
      <w:r w:rsidRPr="003639B8">
        <w:t>V</w:t>
      </w:r>
      <w:r w:rsidR="00896958" w:rsidRPr="003639B8">
        <w:t>z</w:t>
      </w:r>
      <w:r w:rsidRPr="003639B8">
        <w:t xml:space="preserve">tahy touto Smlouvou neupravené se řídí ustanoveními § 159 a násl. </w:t>
      </w:r>
      <w:r w:rsidR="00F57041" w:rsidRPr="003639B8">
        <w:t>SŘ</w:t>
      </w:r>
      <w:r w:rsidR="00412152" w:rsidRPr="003639B8">
        <w:t>, ustanoveními rozpočtových pravidel</w:t>
      </w:r>
      <w:r w:rsidRPr="003639B8">
        <w:t xml:space="preserve"> a příslušnými ustanoveními </w:t>
      </w:r>
      <w:r w:rsidR="00F57041" w:rsidRPr="003639B8">
        <w:t>OZ</w:t>
      </w:r>
      <w:r w:rsidRPr="003639B8">
        <w:t>.</w:t>
      </w:r>
    </w:p>
    <w:p w:rsidR="001F0A59" w:rsidRPr="003639B8" w:rsidRDefault="00412152">
      <w:pPr>
        <w:pStyle w:val="Nadpis2"/>
        <w:keepNext w:val="0"/>
        <w:keepLines w:val="0"/>
        <w:tabs>
          <w:tab w:val="num" w:pos="709"/>
        </w:tabs>
      </w:pPr>
      <w:r w:rsidRPr="003639B8">
        <w:t>Veškeré spory vzniklé z této Smlouvy či z právních vztahů s ní souvisejících budou Smluvní strany řešit dle příslušných ustanovení rozpočtových pravidel.</w:t>
      </w:r>
    </w:p>
    <w:p w:rsidR="001F0A59" w:rsidRPr="003639B8" w:rsidRDefault="00A510DB">
      <w:pPr>
        <w:pStyle w:val="Nadpis2"/>
        <w:keepNext w:val="0"/>
        <w:keepLines w:val="0"/>
      </w:pPr>
      <w:r w:rsidRPr="003639B8">
        <w:t>Tato S</w:t>
      </w:r>
      <w:r w:rsidR="0026204C" w:rsidRPr="003639B8">
        <w:t xml:space="preserve">mlouva nabývá platnosti a účinnosti dnem </w:t>
      </w:r>
      <w:r w:rsidR="00DA1C48" w:rsidRPr="003639B8">
        <w:t xml:space="preserve">podpisu </w:t>
      </w:r>
      <w:r w:rsidR="00490A15" w:rsidRPr="003639B8">
        <w:t xml:space="preserve">oběma </w:t>
      </w:r>
      <w:r w:rsidR="00DA1C48" w:rsidRPr="003639B8">
        <w:t>S</w:t>
      </w:r>
      <w:r w:rsidR="0026204C" w:rsidRPr="003639B8">
        <w:t>mluvními stranami.</w:t>
      </w:r>
    </w:p>
    <w:p w:rsidR="001F0A59" w:rsidRPr="003639B8" w:rsidRDefault="0026204C">
      <w:pPr>
        <w:pStyle w:val="Nadpis2"/>
        <w:keepNext w:val="0"/>
        <w:keepLines w:val="0"/>
      </w:pPr>
      <w:r w:rsidRPr="003639B8">
        <w:t xml:space="preserve">Tato Smlouva je sepsána ve </w:t>
      </w:r>
      <w:r w:rsidR="00FE3046" w:rsidRPr="003639B8">
        <w:t>4</w:t>
      </w:r>
      <w:r w:rsidR="00490A15" w:rsidRPr="003639B8">
        <w:t xml:space="preserve"> (čtyřech)</w:t>
      </w:r>
      <w:r w:rsidR="00FE3046" w:rsidRPr="003639B8">
        <w:t xml:space="preserve"> vyhotoveních, z nichž 2</w:t>
      </w:r>
      <w:r w:rsidR="00490A15" w:rsidRPr="003639B8">
        <w:t xml:space="preserve"> (dvě)</w:t>
      </w:r>
      <w:r w:rsidRPr="003639B8">
        <w:t xml:space="preserve"> </w:t>
      </w:r>
      <w:r w:rsidR="00C13B0E" w:rsidRPr="003639B8">
        <w:t xml:space="preserve">jsou </w:t>
      </w:r>
      <w:r w:rsidRPr="003639B8">
        <w:t>určen</w:t>
      </w:r>
      <w:r w:rsidR="00C13B0E" w:rsidRPr="003639B8">
        <w:t>a</w:t>
      </w:r>
      <w:r w:rsidRPr="003639B8">
        <w:t xml:space="preserve"> pro Poskytovatele a </w:t>
      </w:r>
      <w:r w:rsidR="00FE3046" w:rsidRPr="003639B8">
        <w:t>2</w:t>
      </w:r>
      <w:r w:rsidR="00490A15" w:rsidRPr="003639B8">
        <w:t xml:space="preserve"> (dvě)</w:t>
      </w:r>
      <w:r w:rsidRPr="003639B8">
        <w:t xml:space="preserve"> pro Příjemce.</w:t>
      </w:r>
    </w:p>
    <w:p w:rsidR="001F0A59" w:rsidRPr="003639B8" w:rsidRDefault="001F0A59"/>
    <w:p w:rsidR="001F0A59" w:rsidRPr="003639B8" w:rsidRDefault="002047C5">
      <w:pPr>
        <w:pStyle w:val="Nadpis1"/>
        <w:keepNext w:val="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Prohláš</w:t>
      </w:r>
      <w:r w:rsidR="00DA1C48" w:rsidRPr="003639B8">
        <w:rPr>
          <w:rFonts w:asciiTheme="minorHAnsi" w:hAnsiTheme="minorHAnsi"/>
        </w:rPr>
        <w:t>ení S</w:t>
      </w:r>
      <w:r w:rsidR="00A46D51" w:rsidRPr="003639B8">
        <w:rPr>
          <w:rFonts w:asciiTheme="minorHAnsi" w:hAnsiTheme="minorHAnsi"/>
        </w:rPr>
        <w:t>mluvních stran a uzavření S</w:t>
      </w:r>
      <w:r w:rsidRPr="003639B8">
        <w:rPr>
          <w:rFonts w:asciiTheme="minorHAnsi" w:hAnsiTheme="minorHAnsi"/>
        </w:rPr>
        <w:t>mlouvy</w:t>
      </w:r>
    </w:p>
    <w:p w:rsidR="001F0A59" w:rsidRPr="003639B8" w:rsidRDefault="00DA1C48">
      <w:pPr>
        <w:pStyle w:val="Nadpis2"/>
        <w:keepNext w:val="0"/>
        <w:keepLines w:val="0"/>
      </w:pPr>
      <w:r w:rsidRPr="003639B8">
        <w:t xml:space="preserve">Příjemce prohlašuje, že si je vědom a odhodlán dodržovat všechny povinnosti, které pro něj vyplývají ze zařazení do </w:t>
      </w:r>
      <w:r w:rsidR="006E37B4" w:rsidRPr="003639B8">
        <w:t>sítě</w:t>
      </w:r>
      <w:r w:rsidRPr="003639B8">
        <w:t> KHK.</w:t>
      </w:r>
    </w:p>
    <w:p w:rsidR="001F0A59" w:rsidRPr="003639B8" w:rsidRDefault="00F73240">
      <w:pPr>
        <w:pStyle w:val="Nadpis2"/>
        <w:keepNext w:val="0"/>
        <w:keepLines w:val="0"/>
      </w:pPr>
      <w:r w:rsidRPr="003639B8">
        <w:t>Příjemce prohlašuje, že se nenachází v úpadku či likvidaci</w:t>
      </w:r>
      <w:r w:rsidR="004B6BD4" w:rsidRPr="003639B8">
        <w:t xml:space="preserve">. </w:t>
      </w:r>
      <w:r w:rsidRPr="003639B8">
        <w:t>Příjemce prohlašuje, že nemá v rejstříku trestů záznam o pravomocném odsouzení pro trestný čin; je-li Příjemce právnickou osobou, týká se prohlášení podle tohoto ustanovení všech osob, které jsou jejím statutárním orgánem nebo osobami oprávněnými jednat</w:t>
      </w:r>
      <w:r w:rsidR="00D8142E" w:rsidRPr="003639B8">
        <w:t xml:space="preserve"> za Příjemce</w:t>
      </w:r>
      <w:r w:rsidRPr="003639B8">
        <w:t xml:space="preserve"> z jiného titulu (plná moc, prokura apod.).</w:t>
      </w:r>
    </w:p>
    <w:p w:rsidR="001F0A59" w:rsidRPr="003639B8" w:rsidRDefault="00D30D40" w:rsidP="009B29F5">
      <w:pPr>
        <w:pStyle w:val="Nadpis2"/>
        <w:keepNext w:val="0"/>
      </w:pPr>
      <w:r w:rsidRPr="003639B8">
        <w:t xml:space="preserve">Příjemce prohlašuje, že nemá závazky po lhůtě splatnosti ve vztahu ke státnímu rozpočtu, ke státnímu fondu, zdravotním pojišťovnám, České správě sociálního zabezpečení nebo rozpočtu územního samosprávného celku, tj. </w:t>
      </w:r>
      <w:r w:rsidR="00D8142E" w:rsidRPr="003639B8">
        <w:t>KHK</w:t>
      </w:r>
      <w:r w:rsidRPr="003639B8">
        <w:t xml:space="preserve"> a obci. Tuto skutečnost deklaruje </w:t>
      </w:r>
      <w:r w:rsidR="00D8142E" w:rsidRPr="003639B8">
        <w:t>Příjemce</w:t>
      </w:r>
      <w:r w:rsidRPr="003639B8">
        <w:t xml:space="preserve"> při podání Žádosti a při podpisu </w:t>
      </w:r>
      <w:r w:rsidR="00D8142E" w:rsidRPr="003639B8">
        <w:t>Smlouvy</w:t>
      </w:r>
      <w:r w:rsidRPr="003639B8">
        <w:t>.</w:t>
      </w:r>
    </w:p>
    <w:p w:rsidR="001F0A59" w:rsidRPr="003639B8" w:rsidRDefault="0026204C">
      <w:pPr>
        <w:pStyle w:val="Nadpis2"/>
        <w:keepNext w:val="0"/>
        <w:keepLines w:val="0"/>
      </w:pPr>
      <w:r w:rsidRPr="003639B8">
        <w:t>Příjemce bere na vědomí a prohlašuje, ž</w:t>
      </w:r>
      <w:r w:rsidR="00896958" w:rsidRPr="003639B8">
        <w:t>e</w:t>
      </w:r>
      <w:r w:rsidRPr="003639B8">
        <w:t xml:space="preserve"> je při čerpání dotace a poskytování služeb vázán povinnostmi vyplývajícími ze závazných právních předpisů ČR včetně přímo závazných norem vydaných orgány Evropské</w:t>
      </w:r>
      <w:r w:rsidR="004B6BD4" w:rsidRPr="003639B8">
        <w:t xml:space="preserve"> unie</w:t>
      </w:r>
      <w:r w:rsidRPr="003639B8">
        <w:t>.</w:t>
      </w:r>
    </w:p>
    <w:p w:rsidR="001F0A59" w:rsidRPr="003639B8" w:rsidRDefault="002A51E5">
      <w:pPr>
        <w:pStyle w:val="Nadpis2"/>
        <w:keepNext w:val="0"/>
        <w:keepLines w:val="0"/>
      </w:pPr>
      <w:r w:rsidRPr="003639B8">
        <w:t xml:space="preserve">Smluvní strany berou na vědomí, že tato Smlouva je pouze částečným ujednáním jejich práv a povinností. Další práva a povinnosti pro </w:t>
      </w:r>
      <w:r w:rsidR="000F625A" w:rsidRPr="003639B8">
        <w:t xml:space="preserve">Smluvní </w:t>
      </w:r>
      <w:r w:rsidRPr="003639B8">
        <w:t xml:space="preserve">strany vyplývají ze zařazení Příjemce do </w:t>
      </w:r>
      <w:r w:rsidR="006E37B4" w:rsidRPr="003639B8">
        <w:t>sítě KHK</w:t>
      </w:r>
      <w:r w:rsidRPr="003639B8">
        <w:t xml:space="preserve">.   </w:t>
      </w:r>
    </w:p>
    <w:p w:rsidR="001F0A59" w:rsidRPr="003639B8" w:rsidRDefault="00D26765">
      <w:pPr>
        <w:pStyle w:val="Nadpis2"/>
        <w:keepNext w:val="0"/>
        <w:keepLines w:val="0"/>
      </w:pPr>
      <w:r w:rsidRPr="003639B8">
        <w:t>Smluvní strany prohlašují,</w:t>
      </w:r>
      <w:r w:rsidR="0026204C" w:rsidRPr="003639B8">
        <w:t xml:space="preserve"> že si tuto Smlouvu před jejím podpisem přečetl</w:t>
      </w:r>
      <w:r w:rsidR="00A46D51" w:rsidRPr="003639B8">
        <w:t>y</w:t>
      </w:r>
      <w:r w:rsidR="0026204C" w:rsidRPr="003639B8">
        <w:t>,</w:t>
      </w:r>
      <w:r w:rsidRPr="003639B8">
        <w:t xml:space="preserve"> že</w:t>
      </w:r>
      <w:r w:rsidR="0026204C" w:rsidRPr="003639B8">
        <w:t xml:space="preserve"> byla</w:t>
      </w:r>
      <w:r w:rsidRPr="003639B8">
        <w:t xml:space="preserve"> sepsána na základě pravdivých údajů, podle jejich svobodné a vážné vůle a na důkaz toho připojují své vlastnoruční podpisy.</w:t>
      </w:r>
    </w:p>
    <w:p w:rsidR="001F0A59" w:rsidRPr="003639B8" w:rsidRDefault="00D26765">
      <w:pPr>
        <w:pStyle w:val="Nadpis2"/>
        <w:keepNext w:val="0"/>
        <w:keepLines w:val="0"/>
      </w:pPr>
      <w:r w:rsidRPr="003639B8">
        <w:t>Příjemce svým podpisem stvrzuje správnost veškerých údajů v této Smlouvě uvedených.</w:t>
      </w:r>
    </w:p>
    <w:p w:rsidR="00611CB7" w:rsidRPr="003639B8" w:rsidRDefault="00611CB7" w:rsidP="00611CB7"/>
    <w:p w:rsidR="00611CB7" w:rsidRPr="003639B8" w:rsidRDefault="00611CB7" w:rsidP="00611CB7"/>
    <w:p w:rsidR="00611CB7" w:rsidRPr="003639B8" w:rsidRDefault="00611CB7" w:rsidP="00611CB7"/>
    <w:p w:rsidR="00611CB7" w:rsidRPr="003639B8" w:rsidRDefault="00611CB7" w:rsidP="00611CB7"/>
    <w:p w:rsidR="001F0A59" w:rsidRPr="003639B8" w:rsidRDefault="002A51E5">
      <w:pPr>
        <w:pStyle w:val="Nadpis2"/>
        <w:keepNext w:val="0"/>
        <w:keepLines w:val="0"/>
      </w:pPr>
      <w:r w:rsidRPr="003639B8">
        <w:lastRenderedPageBreak/>
        <w:t xml:space="preserve">Tato </w:t>
      </w:r>
      <w:r w:rsidR="00D8142E" w:rsidRPr="003639B8">
        <w:t xml:space="preserve">Smlouva </w:t>
      </w:r>
      <w:r w:rsidRPr="003639B8">
        <w:t>byla uzavřena v souladu s </w:t>
      </w:r>
      <w:r w:rsidR="0091049F" w:rsidRPr="003639B8">
        <w:t>usnesením Zastupitelstva</w:t>
      </w:r>
      <w:r w:rsidRPr="003639B8">
        <w:t xml:space="preserve"> </w:t>
      </w:r>
      <w:r w:rsidR="006331D5" w:rsidRPr="003639B8">
        <w:t>KHK</w:t>
      </w:r>
      <w:r w:rsidRPr="003639B8">
        <w:t xml:space="preserve"> přijatým dne </w:t>
      </w:r>
      <w:r w:rsidR="00B733D3" w:rsidRPr="003639B8">
        <w:t>xxxxxx</w:t>
      </w:r>
      <w:r w:rsidR="004B6BD4" w:rsidRPr="003639B8">
        <w:t>.</w:t>
      </w:r>
    </w:p>
    <w:p w:rsidR="001F0A59" w:rsidRPr="003639B8" w:rsidRDefault="001F0A59">
      <w:pPr>
        <w:rPr>
          <w:rFonts w:asciiTheme="minorHAnsi" w:hAnsiTheme="minorHAnsi"/>
        </w:rPr>
      </w:pPr>
    </w:p>
    <w:p w:rsidR="001F0A59" w:rsidRPr="003639B8" w:rsidRDefault="001F0A59">
      <w:pPr>
        <w:rPr>
          <w:rFonts w:asciiTheme="minorHAnsi" w:hAnsiTheme="minorHAnsi"/>
        </w:rPr>
      </w:pPr>
    </w:p>
    <w:p w:rsidR="001F0A59" w:rsidRPr="003639B8" w:rsidRDefault="002A51E5">
      <w:pPr>
        <w:rPr>
          <w:rFonts w:asciiTheme="minorHAnsi" w:hAnsiTheme="minorHAnsi"/>
          <w:szCs w:val="22"/>
        </w:rPr>
      </w:pPr>
      <w:r w:rsidRPr="003639B8">
        <w:rPr>
          <w:rFonts w:asciiTheme="minorHAnsi" w:hAnsiTheme="minorHAnsi"/>
          <w:szCs w:val="22"/>
        </w:rPr>
        <w:t>V ………………………….</w:t>
      </w:r>
      <w:r w:rsidR="000F625A" w:rsidRPr="003639B8">
        <w:rPr>
          <w:rFonts w:asciiTheme="minorHAnsi" w:hAnsiTheme="minorHAnsi"/>
          <w:szCs w:val="22"/>
        </w:rPr>
        <w:tab/>
      </w:r>
      <w:r w:rsidRPr="003639B8">
        <w:rPr>
          <w:rFonts w:asciiTheme="minorHAnsi" w:hAnsiTheme="minorHAnsi"/>
          <w:szCs w:val="22"/>
        </w:rPr>
        <w:t>dne……………………….</w:t>
      </w:r>
    </w:p>
    <w:p w:rsidR="001F0A59" w:rsidRPr="003639B8" w:rsidRDefault="001F0A59">
      <w:pPr>
        <w:rPr>
          <w:rFonts w:asciiTheme="minorHAnsi" w:hAnsiTheme="minorHAnsi"/>
          <w:szCs w:val="22"/>
        </w:rPr>
      </w:pPr>
    </w:p>
    <w:p w:rsidR="001F0A59" w:rsidRPr="003639B8" w:rsidRDefault="001F0A59">
      <w:pPr>
        <w:rPr>
          <w:rFonts w:asciiTheme="minorHAnsi" w:hAnsiTheme="minorHAnsi"/>
          <w:szCs w:val="22"/>
        </w:rPr>
      </w:pPr>
    </w:p>
    <w:p w:rsidR="001F0A59" w:rsidRPr="003639B8" w:rsidRDefault="00FD79BC">
      <w:pPr>
        <w:rPr>
          <w:rFonts w:asciiTheme="minorHAnsi" w:hAnsiTheme="minorHAnsi"/>
          <w:szCs w:val="22"/>
        </w:rPr>
      </w:pPr>
      <w:r w:rsidRPr="003639B8">
        <w:rPr>
          <w:rFonts w:asciiTheme="minorHAnsi" w:hAnsiTheme="minorHAnsi"/>
          <w:szCs w:val="22"/>
        </w:rPr>
        <w:t>……………………………………………………</w:t>
      </w:r>
      <w:r w:rsidRPr="003639B8">
        <w:rPr>
          <w:rFonts w:asciiTheme="minorHAnsi" w:hAnsiTheme="minorHAnsi"/>
          <w:szCs w:val="22"/>
        </w:rPr>
        <w:tab/>
      </w:r>
      <w:r w:rsidRPr="003639B8">
        <w:rPr>
          <w:rFonts w:asciiTheme="minorHAnsi" w:hAnsiTheme="minorHAnsi"/>
          <w:szCs w:val="22"/>
        </w:rPr>
        <w:tab/>
        <w:t>……………………………………………………</w:t>
      </w:r>
    </w:p>
    <w:p w:rsidR="001F0A59" w:rsidRPr="003639B8" w:rsidRDefault="00FD79BC">
      <w:pPr>
        <w:rPr>
          <w:rFonts w:asciiTheme="minorHAnsi" w:hAnsiTheme="minorHAnsi"/>
          <w:szCs w:val="22"/>
        </w:rPr>
      </w:pPr>
      <w:r w:rsidRPr="003639B8">
        <w:rPr>
          <w:rFonts w:asciiTheme="minorHAnsi" w:hAnsiTheme="minorHAnsi"/>
          <w:szCs w:val="22"/>
        </w:rPr>
        <w:t>XX</w:t>
      </w:r>
      <w:r w:rsidRPr="003639B8">
        <w:rPr>
          <w:rFonts w:asciiTheme="minorHAnsi" w:hAnsiTheme="minorHAnsi"/>
          <w:szCs w:val="22"/>
        </w:rPr>
        <w:tab/>
      </w:r>
      <w:r w:rsidRPr="003639B8">
        <w:rPr>
          <w:rFonts w:asciiTheme="minorHAnsi" w:hAnsiTheme="minorHAnsi"/>
          <w:szCs w:val="22"/>
        </w:rPr>
        <w:tab/>
      </w:r>
      <w:r w:rsidRPr="003639B8">
        <w:rPr>
          <w:rFonts w:asciiTheme="minorHAnsi" w:hAnsiTheme="minorHAnsi"/>
          <w:szCs w:val="22"/>
        </w:rPr>
        <w:tab/>
      </w:r>
      <w:r w:rsidRPr="003639B8">
        <w:rPr>
          <w:rFonts w:asciiTheme="minorHAnsi" w:hAnsiTheme="minorHAnsi"/>
          <w:szCs w:val="22"/>
        </w:rPr>
        <w:tab/>
      </w:r>
      <w:r w:rsidRPr="003639B8">
        <w:rPr>
          <w:rFonts w:asciiTheme="minorHAnsi" w:hAnsiTheme="minorHAnsi"/>
          <w:szCs w:val="22"/>
        </w:rPr>
        <w:tab/>
      </w:r>
      <w:r w:rsidRPr="003639B8">
        <w:rPr>
          <w:rFonts w:asciiTheme="minorHAnsi" w:hAnsiTheme="minorHAnsi"/>
          <w:szCs w:val="22"/>
        </w:rPr>
        <w:tab/>
        <w:t>XX</w:t>
      </w:r>
    </w:p>
    <w:p w:rsidR="001F0A59" w:rsidRPr="003639B8" w:rsidRDefault="00FD79BC">
      <w:pPr>
        <w:rPr>
          <w:rFonts w:asciiTheme="minorHAnsi" w:hAnsiTheme="minorHAnsi"/>
          <w:szCs w:val="22"/>
        </w:rPr>
      </w:pPr>
      <w:r w:rsidRPr="003639B8">
        <w:rPr>
          <w:rFonts w:asciiTheme="minorHAnsi" w:hAnsiTheme="minorHAnsi"/>
          <w:szCs w:val="22"/>
        </w:rPr>
        <w:t>Poskytovatel</w:t>
      </w:r>
      <w:r w:rsidRPr="003639B8">
        <w:rPr>
          <w:rFonts w:asciiTheme="minorHAnsi" w:hAnsiTheme="minorHAnsi"/>
          <w:szCs w:val="22"/>
        </w:rPr>
        <w:tab/>
      </w:r>
      <w:r w:rsidRPr="003639B8">
        <w:rPr>
          <w:rFonts w:asciiTheme="minorHAnsi" w:hAnsiTheme="minorHAnsi"/>
          <w:szCs w:val="22"/>
        </w:rPr>
        <w:tab/>
      </w:r>
      <w:r w:rsidRPr="003639B8">
        <w:rPr>
          <w:rFonts w:asciiTheme="minorHAnsi" w:hAnsiTheme="minorHAnsi"/>
          <w:szCs w:val="22"/>
        </w:rPr>
        <w:tab/>
      </w:r>
      <w:r w:rsidRPr="003639B8">
        <w:rPr>
          <w:rFonts w:asciiTheme="minorHAnsi" w:hAnsiTheme="minorHAnsi"/>
          <w:szCs w:val="22"/>
        </w:rPr>
        <w:tab/>
      </w:r>
      <w:r w:rsidRPr="003639B8">
        <w:rPr>
          <w:rFonts w:asciiTheme="minorHAnsi" w:hAnsiTheme="minorHAnsi"/>
          <w:szCs w:val="22"/>
        </w:rPr>
        <w:tab/>
        <w:t>Příjemce</w:t>
      </w:r>
    </w:p>
    <w:p w:rsidR="001F0A59" w:rsidRPr="003639B8" w:rsidRDefault="001F0A59">
      <w:pPr>
        <w:rPr>
          <w:rFonts w:asciiTheme="minorHAnsi" w:hAnsiTheme="minorHAnsi"/>
          <w:szCs w:val="22"/>
        </w:rPr>
      </w:pPr>
    </w:p>
    <w:p w:rsidR="001F0A59" w:rsidRPr="003639B8" w:rsidRDefault="00E977A2">
      <w:pPr>
        <w:pStyle w:val="Nadpis1"/>
        <w:keepNext w:val="0"/>
        <w:rPr>
          <w:rFonts w:asciiTheme="minorHAnsi" w:hAnsiTheme="minorHAnsi"/>
        </w:rPr>
      </w:pPr>
      <w:r w:rsidRPr="003639B8">
        <w:rPr>
          <w:rFonts w:asciiTheme="minorHAnsi" w:hAnsiTheme="minorHAnsi"/>
        </w:rPr>
        <w:t>Přílohy</w:t>
      </w:r>
    </w:p>
    <w:p w:rsidR="001F0A59" w:rsidRPr="003639B8" w:rsidRDefault="00D46DBD">
      <w:pPr>
        <w:pStyle w:val="Nadpis2"/>
        <w:keepNext w:val="0"/>
        <w:keepLines w:val="0"/>
        <w:numPr>
          <w:ilvl w:val="0"/>
          <w:numId w:val="0"/>
        </w:numPr>
        <w:rPr>
          <w:rFonts w:cs="Times New Roman"/>
          <w:bCs w:val="0"/>
          <w:i/>
          <w:iCs w:val="0"/>
          <w:szCs w:val="24"/>
        </w:rPr>
      </w:pPr>
      <w:r w:rsidRPr="003639B8">
        <w:rPr>
          <w:i/>
        </w:rPr>
        <w:t>Příloha č. 1:</w:t>
      </w:r>
      <w:r w:rsidR="00E977A2" w:rsidRPr="003639B8">
        <w:rPr>
          <w:i/>
        </w:rPr>
        <w:t xml:space="preserve"> </w:t>
      </w:r>
      <w:r w:rsidRPr="003639B8">
        <w:rPr>
          <w:i/>
        </w:rPr>
        <w:tab/>
      </w:r>
      <w:r w:rsidR="00D31983" w:rsidRPr="003639B8">
        <w:rPr>
          <w:bCs w:val="0"/>
          <w:i/>
          <w:iCs w:val="0"/>
        </w:rPr>
        <w:t>Specifikace výdajů, které nelze hradit z dotace</w:t>
      </w:r>
    </w:p>
    <w:p w:rsidR="00B733D3" w:rsidRPr="003639B8" w:rsidRDefault="00B733D3" w:rsidP="00A91598"/>
    <w:p w:rsidR="00C13B0E" w:rsidRPr="003639B8" w:rsidRDefault="00C13B0E">
      <w:pPr>
        <w:spacing w:before="0" w:after="0" w:line="240" w:lineRule="auto"/>
        <w:jc w:val="left"/>
        <w:rPr>
          <w:sz w:val="36"/>
          <w:u w:val="single"/>
        </w:rPr>
      </w:pPr>
      <w:r w:rsidRPr="003639B8">
        <w:rPr>
          <w:sz w:val="36"/>
          <w:u w:val="single"/>
        </w:rPr>
        <w:br w:type="page"/>
      </w:r>
    </w:p>
    <w:p w:rsidR="00C13B0E" w:rsidRPr="003639B8" w:rsidRDefault="00D31983" w:rsidP="00B733D3">
      <w:pPr>
        <w:rPr>
          <w:b/>
          <w:sz w:val="28"/>
          <w:u w:val="single"/>
        </w:rPr>
      </w:pPr>
      <w:r w:rsidRPr="003639B8">
        <w:rPr>
          <w:b/>
          <w:sz w:val="28"/>
          <w:u w:val="single"/>
        </w:rPr>
        <w:lastRenderedPageBreak/>
        <w:t>Příloha č. 1</w:t>
      </w:r>
    </w:p>
    <w:p w:rsidR="00C13B0E" w:rsidRPr="003639B8" w:rsidRDefault="00C13B0E" w:rsidP="00B733D3">
      <w:pPr>
        <w:rPr>
          <w:sz w:val="36"/>
          <w:u w:val="single"/>
        </w:rPr>
      </w:pPr>
    </w:p>
    <w:p w:rsidR="00B733D3" w:rsidRPr="003639B8" w:rsidRDefault="00D31983" w:rsidP="00B733D3">
      <w:pPr>
        <w:rPr>
          <w:rFonts w:asciiTheme="minorHAnsi" w:hAnsiTheme="minorHAnsi"/>
          <w:b/>
          <w:bCs/>
          <w:iCs/>
          <w:sz w:val="24"/>
          <w:szCs w:val="22"/>
          <w:u w:val="single"/>
        </w:rPr>
      </w:pPr>
      <w:r w:rsidRPr="003639B8">
        <w:rPr>
          <w:rFonts w:asciiTheme="minorHAnsi" w:hAnsiTheme="minorHAnsi"/>
          <w:b/>
          <w:sz w:val="24"/>
          <w:szCs w:val="22"/>
          <w:u w:val="single"/>
        </w:rPr>
        <w:t>Specifikace výdajů, které nelze hradit z dotace</w:t>
      </w:r>
    </w:p>
    <w:p w:rsidR="00B733D3" w:rsidRPr="003639B8" w:rsidRDefault="00B733D3" w:rsidP="00B733D3">
      <w:pPr>
        <w:rPr>
          <w:rFonts w:asciiTheme="minorHAnsi" w:hAnsiTheme="minorHAnsi"/>
          <w:szCs w:val="22"/>
        </w:rPr>
      </w:pPr>
    </w:p>
    <w:p w:rsidR="00064A5E" w:rsidRPr="003639B8" w:rsidRDefault="00D31983" w:rsidP="00064A5E">
      <w:pPr>
        <w:rPr>
          <w:rFonts w:asciiTheme="minorHAnsi" w:hAnsiTheme="minorHAnsi" w:cs="Arial"/>
          <w:b/>
          <w:szCs w:val="22"/>
        </w:rPr>
      </w:pPr>
      <w:r w:rsidRPr="003639B8">
        <w:rPr>
          <w:rFonts w:asciiTheme="minorHAnsi" w:hAnsiTheme="minorHAnsi" w:cs="Arial"/>
          <w:b/>
          <w:szCs w:val="22"/>
        </w:rPr>
        <w:t xml:space="preserve">Z poskytnuté dotace nelze hradit tyto výdaje (neuznatelné výdaje): </w:t>
      </w:r>
    </w:p>
    <w:p w:rsidR="00064A5E" w:rsidRPr="003639B8" w:rsidRDefault="00D31983" w:rsidP="00064A5E">
      <w:pPr>
        <w:numPr>
          <w:ilvl w:val="0"/>
          <w:numId w:val="42"/>
        </w:numPr>
        <w:spacing w:before="0" w:after="0" w:line="240" w:lineRule="auto"/>
        <w:rPr>
          <w:rFonts w:asciiTheme="minorHAnsi" w:hAnsiTheme="minorHAnsi" w:cs="Arial"/>
          <w:szCs w:val="22"/>
        </w:rPr>
      </w:pPr>
      <w:r w:rsidRPr="003639B8">
        <w:rPr>
          <w:rFonts w:asciiTheme="minorHAnsi" w:hAnsiTheme="minorHAnsi" w:cs="Arial"/>
          <w:szCs w:val="22"/>
        </w:rPr>
        <w:t xml:space="preserve">na pořízení nebo technické zhodnocení dlouhodobého hmotného a nehmotného majetku (dlouhodobým hmotným majetkem se rozumí majetek, jehož doba použitelnosti je delší než jeden rok a  vstupní cena vyšší než 40 000,- Kč, dlouhodobým nehmotným majetkem se rozumí majetek, jehož doba použitelnosti je delší než jeden rok a vstupní cena vyšší než 60 000,- Kč. Pokud je žadatel plátce DPH a může si ho uplatnit u </w:t>
      </w:r>
      <w:r w:rsidR="000F625A" w:rsidRPr="003639B8">
        <w:rPr>
          <w:rFonts w:asciiTheme="minorHAnsi" w:hAnsiTheme="minorHAnsi" w:cs="Arial"/>
          <w:szCs w:val="22"/>
        </w:rPr>
        <w:t>FÚ, je</w:t>
      </w:r>
      <w:r w:rsidRPr="003639B8">
        <w:rPr>
          <w:rFonts w:asciiTheme="minorHAnsi" w:hAnsiTheme="minorHAnsi" w:cs="Arial"/>
          <w:szCs w:val="22"/>
        </w:rPr>
        <w:t xml:space="preserve"> tato částka bez DPH), </w:t>
      </w:r>
    </w:p>
    <w:p w:rsidR="00064A5E" w:rsidRPr="003639B8" w:rsidRDefault="00D31983" w:rsidP="00064A5E">
      <w:pPr>
        <w:numPr>
          <w:ilvl w:val="0"/>
          <w:numId w:val="42"/>
        </w:numPr>
        <w:spacing w:before="0" w:after="0" w:line="240" w:lineRule="auto"/>
        <w:rPr>
          <w:rFonts w:asciiTheme="minorHAnsi" w:hAnsiTheme="minorHAnsi" w:cs="Arial"/>
          <w:szCs w:val="22"/>
        </w:rPr>
      </w:pPr>
      <w:r w:rsidRPr="003639B8">
        <w:rPr>
          <w:rFonts w:asciiTheme="minorHAnsi" w:hAnsiTheme="minorHAnsi" w:cs="Arial"/>
          <w:szCs w:val="22"/>
        </w:rPr>
        <w:t xml:space="preserve">na pohoštění a dary, </w:t>
      </w:r>
    </w:p>
    <w:p w:rsidR="00064A5E" w:rsidRPr="003639B8" w:rsidRDefault="00D31983" w:rsidP="00064A5E">
      <w:pPr>
        <w:numPr>
          <w:ilvl w:val="0"/>
          <w:numId w:val="42"/>
        </w:numPr>
        <w:spacing w:before="0" w:after="0" w:line="240" w:lineRule="auto"/>
        <w:rPr>
          <w:rFonts w:asciiTheme="minorHAnsi" w:hAnsiTheme="minorHAnsi" w:cs="Arial"/>
          <w:szCs w:val="22"/>
        </w:rPr>
      </w:pPr>
      <w:r w:rsidRPr="003639B8">
        <w:rPr>
          <w:rFonts w:asciiTheme="minorHAnsi" w:hAnsiTheme="minorHAnsi" w:cs="Arial"/>
          <w:szCs w:val="22"/>
        </w:rPr>
        <w:t xml:space="preserve">na odměny statutárních orgánů právnických osob, </w:t>
      </w:r>
    </w:p>
    <w:p w:rsidR="00064A5E" w:rsidRPr="003639B8" w:rsidRDefault="00D31983" w:rsidP="00064A5E">
      <w:pPr>
        <w:numPr>
          <w:ilvl w:val="0"/>
          <w:numId w:val="42"/>
        </w:numPr>
        <w:spacing w:before="0" w:after="0" w:line="240" w:lineRule="auto"/>
        <w:rPr>
          <w:rFonts w:asciiTheme="minorHAnsi" w:hAnsiTheme="minorHAnsi" w:cs="Arial"/>
          <w:szCs w:val="22"/>
        </w:rPr>
      </w:pPr>
      <w:r w:rsidRPr="003639B8">
        <w:rPr>
          <w:rFonts w:asciiTheme="minorHAnsi" w:hAnsiTheme="minorHAnsi" w:cs="Arial"/>
          <w:szCs w:val="22"/>
        </w:rPr>
        <w:t xml:space="preserve">na členské příspěvky v mezinárodních institucích, </w:t>
      </w:r>
    </w:p>
    <w:p w:rsidR="00064A5E" w:rsidRPr="003639B8" w:rsidRDefault="00D31983" w:rsidP="00064A5E">
      <w:pPr>
        <w:numPr>
          <w:ilvl w:val="0"/>
          <w:numId w:val="42"/>
        </w:numPr>
        <w:spacing w:before="0" w:after="0" w:line="240" w:lineRule="auto"/>
        <w:rPr>
          <w:rFonts w:asciiTheme="minorHAnsi" w:hAnsiTheme="minorHAnsi" w:cs="Arial"/>
          <w:szCs w:val="22"/>
        </w:rPr>
      </w:pPr>
      <w:r w:rsidRPr="003639B8">
        <w:rPr>
          <w:rFonts w:asciiTheme="minorHAnsi" w:hAnsiTheme="minorHAnsi" w:cs="Arial"/>
          <w:szCs w:val="22"/>
        </w:rPr>
        <w:t xml:space="preserve">na splátky finančních závazků a leasingové splátky, </w:t>
      </w:r>
    </w:p>
    <w:p w:rsidR="00064A5E" w:rsidRPr="003639B8" w:rsidRDefault="00D31983" w:rsidP="00064A5E">
      <w:pPr>
        <w:numPr>
          <w:ilvl w:val="0"/>
          <w:numId w:val="42"/>
        </w:numPr>
        <w:spacing w:before="0" w:after="0" w:line="240" w:lineRule="auto"/>
        <w:rPr>
          <w:rFonts w:asciiTheme="minorHAnsi" w:hAnsiTheme="minorHAnsi" w:cs="Arial"/>
          <w:szCs w:val="22"/>
        </w:rPr>
      </w:pPr>
      <w:r w:rsidRPr="003639B8">
        <w:rPr>
          <w:rFonts w:asciiTheme="minorHAnsi" w:hAnsiTheme="minorHAnsi" w:cs="Arial"/>
          <w:szCs w:val="22"/>
        </w:rPr>
        <w:t>na tvorbu kapitálového jmění (zisku),</w:t>
      </w:r>
    </w:p>
    <w:p w:rsidR="00064A5E" w:rsidRPr="003639B8" w:rsidRDefault="00D31983" w:rsidP="00064A5E">
      <w:pPr>
        <w:numPr>
          <w:ilvl w:val="0"/>
          <w:numId w:val="42"/>
        </w:numPr>
        <w:spacing w:before="0" w:after="0" w:line="240" w:lineRule="auto"/>
        <w:rPr>
          <w:rFonts w:asciiTheme="minorHAnsi" w:hAnsiTheme="minorHAnsi" w:cs="Arial"/>
          <w:szCs w:val="22"/>
        </w:rPr>
      </w:pPr>
      <w:r w:rsidRPr="003639B8">
        <w:rPr>
          <w:rFonts w:asciiTheme="minorHAnsi" w:hAnsiTheme="minorHAnsi" w:cs="Arial"/>
          <w:szCs w:val="22"/>
        </w:rPr>
        <w:t xml:space="preserve">na výzkum a vývoj, </w:t>
      </w:r>
    </w:p>
    <w:p w:rsidR="00064A5E" w:rsidRPr="003639B8" w:rsidRDefault="00D31983" w:rsidP="00064A5E">
      <w:pPr>
        <w:numPr>
          <w:ilvl w:val="0"/>
          <w:numId w:val="42"/>
        </w:numPr>
        <w:spacing w:before="0" w:after="0" w:line="240" w:lineRule="auto"/>
        <w:rPr>
          <w:rFonts w:asciiTheme="minorHAnsi" w:hAnsiTheme="minorHAnsi" w:cs="Arial"/>
          <w:szCs w:val="22"/>
        </w:rPr>
      </w:pPr>
      <w:r w:rsidRPr="003639B8">
        <w:rPr>
          <w:rFonts w:asciiTheme="minorHAnsi" w:hAnsiTheme="minorHAnsi" w:cs="Arial"/>
          <w:szCs w:val="22"/>
        </w:rPr>
        <w:t xml:space="preserve">na příspěvek na stravu zaměstnanců (např. stravovací poukázky) a příspěvek na dopravu do zaměstnání (mimo cestovních náhrad poskytovaných v souladu se zákonem č. 262/2006 Sb., zákoník práce, </w:t>
      </w:r>
      <w:r w:rsidR="00C13B0E" w:rsidRPr="003639B8">
        <w:rPr>
          <w:rFonts w:asciiTheme="minorHAnsi" w:hAnsiTheme="minorHAnsi" w:cs="Arial"/>
          <w:szCs w:val="22"/>
        </w:rPr>
        <w:t>ve znění pozdějších předpisů</w:t>
      </w:r>
      <w:r w:rsidRPr="003639B8">
        <w:rPr>
          <w:rFonts w:asciiTheme="minorHAnsi" w:hAnsiTheme="minorHAnsi" w:cs="Arial"/>
          <w:szCs w:val="22"/>
        </w:rPr>
        <w:t xml:space="preserve">), </w:t>
      </w:r>
    </w:p>
    <w:p w:rsidR="00064A5E" w:rsidRPr="003639B8" w:rsidRDefault="00D31983" w:rsidP="00064A5E">
      <w:pPr>
        <w:numPr>
          <w:ilvl w:val="0"/>
          <w:numId w:val="42"/>
        </w:numPr>
        <w:spacing w:before="0" w:after="0" w:line="240" w:lineRule="auto"/>
        <w:rPr>
          <w:rFonts w:asciiTheme="minorHAnsi" w:hAnsiTheme="minorHAnsi" w:cs="Arial"/>
          <w:szCs w:val="22"/>
        </w:rPr>
      </w:pPr>
      <w:r w:rsidRPr="003639B8">
        <w:rPr>
          <w:rFonts w:asciiTheme="minorHAnsi" w:hAnsiTheme="minorHAnsi" w:cs="Arial"/>
          <w:szCs w:val="22"/>
        </w:rPr>
        <w:t xml:space="preserve">na pokuty a sankce, </w:t>
      </w:r>
    </w:p>
    <w:p w:rsidR="00064A5E" w:rsidRPr="003639B8" w:rsidRDefault="00D31983" w:rsidP="00064A5E">
      <w:pPr>
        <w:numPr>
          <w:ilvl w:val="0"/>
          <w:numId w:val="42"/>
        </w:numPr>
        <w:spacing w:before="0" w:after="0" w:line="240" w:lineRule="auto"/>
        <w:rPr>
          <w:rFonts w:asciiTheme="minorHAnsi" w:hAnsiTheme="minorHAnsi" w:cs="Arial"/>
          <w:szCs w:val="22"/>
        </w:rPr>
      </w:pPr>
      <w:r w:rsidRPr="003639B8">
        <w:rPr>
          <w:rFonts w:asciiTheme="minorHAnsi" w:hAnsiTheme="minorHAnsi" w:cs="Arial"/>
          <w:szCs w:val="22"/>
        </w:rPr>
        <w:t>na nespecifikované výdaje (tj. výdaje, které nelze účetně doložit).</w:t>
      </w:r>
    </w:p>
    <w:p w:rsidR="00B733D3" w:rsidRPr="00B733D3" w:rsidRDefault="00B733D3" w:rsidP="00B733D3"/>
    <w:p w:rsidR="003D1469" w:rsidRDefault="003D1469">
      <w:pPr>
        <w:keepNext/>
        <w:keepLines/>
        <w:rPr>
          <w:rFonts w:asciiTheme="minorHAnsi" w:hAnsiTheme="minorHAnsi"/>
          <w:strike/>
          <w:szCs w:val="22"/>
        </w:rPr>
      </w:pPr>
    </w:p>
    <w:sectPr w:rsidR="003D1469" w:rsidSect="003C209A">
      <w:footerReference w:type="even" r:id="rId8"/>
      <w:footerReference w:type="default" r:id="rId9"/>
      <w:headerReference w:type="first" r:id="rId10"/>
      <w:pgSz w:w="11906" w:h="16838" w:code="9"/>
      <w:pgMar w:top="-1302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A73" w:rsidRDefault="00FA5A73">
      <w:r>
        <w:separator/>
      </w:r>
    </w:p>
  </w:endnote>
  <w:endnote w:type="continuationSeparator" w:id="0">
    <w:p w:rsidR="00FA5A73" w:rsidRDefault="00FA5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BD4" w:rsidRDefault="007C5D00" w:rsidP="004E7AC5">
    <w:pPr>
      <w:pStyle w:val="Zpat"/>
      <w:framePr w:wrap="around" w:vAnchor="text" w:hAnchor="margin" w:xAlign="right" w:y="1"/>
    </w:pPr>
    <w:r>
      <w:fldChar w:fldCharType="begin"/>
    </w:r>
    <w:r w:rsidR="004B6BD4">
      <w:instrText xml:space="preserve">PAGE  </w:instrText>
    </w:r>
    <w:r>
      <w:fldChar w:fldCharType="end"/>
    </w:r>
  </w:p>
  <w:p w:rsidR="004B6BD4" w:rsidRDefault="004B6BD4" w:rsidP="000403E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BD4" w:rsidRDefault="007C5D00" w:rsidP="00841BD3">
    <w:pPr>
      <w:pStyle w:val="Zpat"/>
      <w:framePr w:wrap="around" w:vAnchor="text" w:hAnchor="margin" w:xAlign="center" w:y="1"/>
    </w:pPr>
    <w:fldSimple w:instr="PAGE  ">
      <w:r w:rsidR="004254BF">
        <w:rPr>
          <w:noProof/>
        </w:rPr>
        <w:t>13</w:t>
      </w:r>
    </w:fldSimple>
  </w:p>
  <w:p w:rsidR="004B6BD4" w:rsidRDefault="004B6BD4" w:rsidP="000403EA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A73" w:rsidRDefault="00FA5A73">
      <w:r>
        <w:separator/>
      </w:r>
    </w:p>
  </w:footnote>
  <w:footnote w:type="continuationSeparator" w:id="0">
    <w:p w:rsidR="00FA5A73" w:rsidRDefault="00FA5A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BD4" w:rsidRDefault="004B6BD4">
    <w:pPr>
      <w:spacing w:after="24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>
    <w:nsid w:val="009F0A9E"/>
    <w:multiLevelType w:val="hybridMultilevel"/>
    <w:tmpl w:val="C06A2B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6E6C41"/>
    <w:multiLevelType w:val="hybridMultilevel"/>
    <w:tmpl w:val="B89834E0"/>
    <w:lvl w:ilvl="0" w:tplc="03682E8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E7AB5"/>
    <w:multiLevelType w:val="hybridMultilevel"/>
    <w:tmpl w:val="8C7E5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660BD4"/>
    <w:multiLevelType w:val="hybridMultilevel"/>
    <w:tmpl w:val="091CDA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9">
    <w:nsid w:val="197020D9"/>
    <w:multiLevelType w:val="hybridMultilevel"/>
    <w:tmpl w:val="97CAC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CF1D9C"/>
    <w:multiLevelType w:val="hybridMultilevel"/>
    <w:tmpl w:val="56DCBF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75372"/>
    <w:multiLevelType w:val="hybridMultilevel"/>
    <w:tmpl w:val="150A9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41BF8"/>
    <w:multiLevelType w:val="multilevel"/>
    <w:tmpl w:val="5F18A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4846A4"/>
    <w:multiLevelType w:val="hybridMultilevel"/>
    <w:tmpl w:val="EB6E7B70"/>
    <w:lvl w:ilvl="0" w:tplc="BD2E229C">
      <w:start w:val="1"/>
      <w:numFmt w:val="lowerLetter"/>
      <w:lvlText w:val="%1)"/>
      <w:lvlJc w:val="left"/>
      <w:pPr>
        <w:ind w:left="1495" w:hanging="360"/>
      </w:pPr>
      <w:rPr>
        <w:rFonts w:asciiTheme="minorHAnsi" w:eastAsiaTheme="minorHAnsi" w:hAnsiTheme="minorHAnsi" w:cstheme="minorBidi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26F41E6A"/>
    <w:multiLevelType w:val="hybridMultilevel"/>
    <w:tmpl w:val="08DC5D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DC0DDD"/>
    <w:multiLevelType w:val="hybridMultilevel"/>
    <w:tmpl w:val="2E804A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F5C7059"/>
    <w:multiLevelType w:val="hybridMultilevel"/>
    <w:tmpl w:val="A1DE54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41674723"/>
    <w:multiLevelType w:val="hybridMultilevel"/>
    <w:tmpl w:val="913E82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79666A"/>
    <w:multiLevelType w:val="multilevel"/>
    <w:tmpl w:val="72C8E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655AC6"/>
    <w:multiLevelType w:val="multilevel"/>
    <w:tmpl w:val="D6CCF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5D0726"/>
    <w:multiLevelType w:val="hybridMultilevel"/>
    <w:tmpl w:val="B254DD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3573CF"/>
    <w:multiLevelType w:val="hybridMultilevel"/>
    <w:tmpl w:val="44C23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7A12D6"/>
    <w:multiLevelType w:val="hybridMultilevel"/>
    <w:tmpl w:val="A9FE1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7716F"/>
    <w:multiLevelType w:val="multilevel"/>
    <w:tmpl w:val="8EC23CE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5C9507C3"/>
    <w:multiLevelType w:val="hybridMultilevel"/>
    <w:tmpl w:val="0C16E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026A33"/>
    <w:multiLevelType w:val="hybridMultilevel"/>
    <w:tmpl w:val="F188AA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0D72BC"/>
    <w:multiLevelType w:val="hybridMultilevel"/>
    <w:tmpl w:val="A84871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5">
    <w:nsid w:val="666032CF"/>
    <w:multiLevelType w:val="hybridMultilevel"/>
    <w:tmpl w:val="EE781D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3B6045"/>
    <w:multiLevelType w:val="hybridMultilevel"/>
    <w:tmpl w:val="0DB65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7"/>
  </w:num>
  <w:num w:numId="5">
    <w:abstractNumId w:val="23"/>
  </w:num>
  <w:num w:numId="6">
    <w:abstractNumId w:val="7"/>
  </w:num>
  <w:num w:numId="7">
    <w:abstractNumId w:val="26"/>
  </w:num>
  <w:num w:numId="8">
    <w:abstractNumId w:val="18"/>
  </w:num>
  <w:num w:numId="9">
    <w:abstractNumId w:val="15"/>
  </w:num>
  <w:num w:numId="10">
    <w:abstractNumId w:val="8"/>
  </w:num>
  <w:num w:numId="11">
    <w:abstractNumId w:val="29"/>
  </w:num>
  <w:num w:numId="12">
    <w:abstractNumId w:val="30"/>
  </w:num>
  <w:num w:numId="13">
    <w:abstractNumId w:val="34"/>
  </w:num>
  <w:num w:numId="14">
    <w:abstractNumId w:val="20"/>
  </w:num>
  <w:num w:numId="15">
    <w:abstractNumId w:val="27"/>
  </w:num>
  <w:num w:numId="16">
    <w:abstractNumId w:val="11"/>
  </w:num>
  <w:num w:numId="17">
    <w:abstractNumId w:val="28"/>
  </w:num>
  <w:num w:numId="18">
    <w:abstractNumId w:val="32"/>
  </w:num>
  <w:num w:numId="19">
    <w:abstractNumId w:val="29"/>
  </w:num>
  <w:num w:numId="20">
    <w:abstractNumId w:val="9"/>
  </w:num>
  <w:num w:numId="21">
    <w:abstractNumId w:val="37"/>
  </w:num>
  <w:num w:numId="22">
    <w:abstractNumId w:val="16"/>
  </w:num>
  <w:num w:numId="23">
    <w:abstractNumId w:val="31"/>
  </w:num>
  <w:num w:numId="24">
    <w:abstractNumId w:val="10"/>
  </w:num>
  <w:num w:numId="25">
    <w:abstractNumId w:val="14"/>
  </w:num>
  <w:num w:numId="26">
    <w:abstractNumId w:val="36"/>
  </w:num>
  <w:num w:numId="27">
    <w:abstractNumId w:val="19"/>
  </w:num>
  <w:num w:numId="28">
    <w:abstractNumId w:val="6"/>
  </w:num>
  <w:num w:numId="29">
    <w:abstractNumId w:val="25"/>
  </w:num>
  <w:num w:numId="30">
    <w:abstractNumId w:val="29"/>
  </w:num>
  <w:num w:numId="31">
    <w:abstractNumId w:val="24"/>
  </w:num>
  <w:num w:numId="32">
    <w:abstractNumId w:val="22"/>
  </w:num>
  <w:num w:numId="33">
    <w:abstractNumId w:val="13"/>
  </w:num>
  <w:num w:numId="34">
    <w:abstractNumId w:val="2"/>
  </w:num>
  <w:num w:numId="35">
    <w:abstractNumId w:val="33"/>
  </w:num>
  <w:num w:numId="36">
    <w:abstractNumId w:val="12"/>
  </w:num>
  <w:num w:numId="37">
    <w:abstractNumId w:val="35"/>
  </w:num>
  <w:num w:numId="38">
    <w:abstractNumId w:val="21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825D7D"/>
    <w:rsid w:val="00001C5F"/>
    <w:rsid w:val="00005658"/>
    <w:rsid w:val="00011D73"/>
    <w:rsid w:val="000124E5"/>
    <w:rsid w:val="000148CF"/>
    <w:rsid w:val="00014C58"/>
    <w:rsid w:val="00021299"/>
    <w:rsid w:val="0002250E"/>
    <w:rsid w:val="0002500A"/>
    <w:rsid w:val="00031DA4"/>
    <w:rsid w:val="000378CD"/>
    <w:rsid w:val="000403EA"/>
    <w:rsid w:val="00042CA9"/>
    <w:rsid w:val="000459C4"/>
    <w:rsid w:val="000527FE"/>
    <w:rsid w:val="00053125"/>
    <w:rsid w:val="00060E89"/>
    <w:rsid w:val="000616F8"/>
    <w:rsid w:val="0006432C"/>
    <w:rsid w:val="00064A5E"/>
    <w:rsid w:val="00065729"/>
    <w:rsid w:val="000804D4"/>
    <w:rsid w:val="000825EB"/>
    <w:rsid w:val="00085432"/>
    <w:rsid w:val="00095073"/>
    <w:rsid w:val="000957B6"/>
    <w:rsid w:val="00096A66"/>
    <w:rsid w:val="00097DD9"/>
    <w:rsid w:val="000A0D47"/>
    <w:rsid w:val="000A25E8"/>
    <w:rsid w:val="000A2847"/>
    <w:rsid w:val="000A576D"/>
    <w:rsid w:val="000A78D1"/>
    <w:rsid w:val="000B4EF9"/>
    <w:rsid w:val="000B71D7"/>
    <w:rsid w:val="000C442F"/>
    <w:rsid w:val="000C6A0C"/>
    <w:rsid w:val="000D0598"/>
    <w:rsid w:val="000E3E63"/>
    <w:rsid w:val="000E62B2"/>
    <w:rsid w:val="000E6C7E"/>
    <w:rsid w:val="000E7CED"/>
    <w:rsid w:val="000F11EE"/>
    <w:rsid w:val="000F3248"/>
    <w:rsid w:val="000F52C2"/>
    <w:rsid w:val="000F625A"/>
    <w:rsid w:val="0010135C"/>
    <w:rsid w:val="0010270A"/>
    <w:rsid w:val="00102977"/>
    <w:rsid w:val="00104434"/>
    <w:rsid w:val="00105289"/>
    <w:rsid w:val="00110507"/>
    <w:rsid w:val="00110B87"/>
    <w:rsid w:val="00112947"/>
    <w:rsid w:val="001168AB"/>
    <w:rsid w:val="00117B76"/>
    <w:rsid w:val="0012273C"/>
    <w:rsid w:val="00124232"/>
    <w:rsid w:val="00124777"/>
    <w:rsid w:val="00125D0A"/>
    <w:rsid w:val="00125F8A"/>
    <w:rsid w:val="0013596E"/>
    <w:rsid w:val="00137758"/>
    <w:rsid w:val="00137864"/>
    <w:rsid w:val="00137DFC"/>
    <w:rsid w:val="00143210"/>
    <w:rsid w:val="00143987"/>
    <w:rsid w:val="001542D6"/>
    <w:rsid w:val="00155A10"/>
    <w:rsid w:val="001565B9"/>
    <w:rsid w:val="001568BE"/>
    <w:rsid w:val="001574CC"/>
    <w:rsid w:val="0016016B"/>
    <w:rsid w:val="00160A4C"/>
    <w:rsid w:val="0016671B"/>
    <w:rsid w:val="00166CFB"/>
    <w:rsid w:val="00170D32"/>
    <w:rsid w:val="00170E24"/>
    <w:rsid w:val="00174F84"/>
    <w:rsid w:val="00177EFB"/>
    <w:rsid w:val="001825F0"/>
    <w:rsid w:val="0018319F"/>
    <w:rsid w:val="00185702"/>
    <w:rsid w:val="00190BA3"/>
    <w:rsid w:val="001928AD"/>
    <w:rsid w:val="001973BE"/>
    <w:rsid w:val="001A0233"/>
    <w:rsid w:val="001A08A5"/>
    <w:rsid w:val="001A2A40"/>
    <w:rsid w:val="001A49DE"/>
    <w:rsid w:val="001A4A51"/>
    <w:rsid w:val="001A7A1C"/>
    <w:rsid w:val="001B07BD"/>
    <w:rsid w:val="001B26BE"/>
    <w:rsid w:val="001B2BCA"/>
    <w:rsid w:val="001C4530"/>
    <w:rsid w:val="001C58F5"/>
    <w:rsid w:val="001C72E6"/>
    <w:rsid w:val="001D44B9"/>
    <w:rsid w:val="001D48F3"/>
    <w:rsid w:val="001D571B"/>
    <w:rsid w:val="001D5A62"/>
    <w:rsid w:val="001D6419"/>
    <w:rsid w:val="001E21CA"/>
    <w:rsid w:val="001E2636"/>
    <w:rsid w:val="001F0A59"/>
    <w:rsid w:val="001F5FA5"/>
    <w:rsid w:val="002025DB"/>
    <w:rsid w:val="002047C5"/>
    <w:rsid w:val="00204F3B"/>
    <w:rsid w:val="002107B0"/>
    <w:rsid w:val="002151AD"/>
    <w:rsid w:val="00215545"/>
    <w:rsid w:val="00216712"/>
    <w:rsid w:val="00217DD1"/>
    <w:rsid w:val="00221D59"/>
    <w:rsid w:val="00223A3A"/>
    <w:rsid w:val="00225812"/>
    <w:rsid w:val="00232738"/>
    <w:rsid w:val="00237B15"/>
    <w:rsid w:val="00242E17"/>
    <w:rsid w:val="0024424E"/>
    <w:rsid w:val="00246CEB"/>
    <w:rsid w:val="0025258A"/>
    <w:rsid w:val="002560BB"/>
    <w:rsid w:val="00257B53"/>
    <w:rsid w:val="00261FDE"/>
    <w:rsid w:val="0026204C"/>
    <w:rsid w:val="002650DC"/>
    <w:rsid w:val="00265251"/>
    <w:rsid w:val="002659A1"/>
    <w:rsid w:val="00266A93"/>
    <w:rsid w:val="00274288"/>
    <w:rsid w:val="00274753"/>
    <w:rsid w:val="00275227"/>
    <w:rsid w:val="00277520"/>
    <w:rsid w:val="00282630"/>
    <w:rsid w:val="00282FEC"/>
    <w:rsid w:val="002917C5"/>
    <w:rsid w:val="00294664"/>
    <w:rsid w:val="002A0625"/>
    <w:rsid w:val="002A2B24"/>
    <w:rsid w:val="002A35A6"/>
    <w:rsid w:val="002A3E5C"/>
    <w:rsid w:val="002A51E5"/>
    <w:rsid w:val="002A6EE6"/>
    <w:rsid w:val="002C52DD"/>
    <w:rsid w:val="002D2ADA"/>
    <w:rsid w:val="002D58FC"/>
    <w:rsid w:val="002D5D69"/>
    <w:rsid w:val="002D63C2"/>
    <w:rsid w:val="002D7B43"/>
    <w:rsid w:val="002E0499"/>
    <w:rsid w:val="002E3DDB"/>
    <w:rsid w:val="002F1B06"/>
    <w:rsid w:val="002F24F0"/>
    <w:rsid w:val="002F2C1B"/>
    <w:rsid w:val="002F6D4D"/>
    <w:rsid w:val="003024C0"/>
    <w:rsid w:val="003104C0"/>
    <w:rsid w:val="00310887"/>
    <w:rsid w:val="00312364"/>
    <w:rsid w:val="00312984"/>
    <w:rsid w:val="00320173"/>
    <w:rsid w:val="0032325B"/>
    <w:rsid w:val="003248E3"/>
    <w:rsid w:val="00324DD3"/>
    <w:rsid w:val="0033077A"/>
    <w:rsid w:val="00330800"/>
    <w:rsid w:val="00330DEF"/>
    <w:rsid w:val="00332FB5"/>
    <w:rsid w:val="003344C4"/>
    <w:rsid w:val="00336331"/>
    <w:rsid w:val="003465E4"/>
    <w:rsid w:val="00346D7B"/>
    <w:rsid w:val="00347C76"/>
    <w:rsid w:val="00350792"/>
    <w:rsid w:val="00351EB6"/>
    <w:rsid w:val="00354DB5"/>
    <w:rsid w:val="00356598"/>
    <w:rsid w:val="003573FE"/>
    <w:rsid w:val="0036100B"/>
    <w:rsid w:val="003639B8"/>
    <w:rsid w:val="00370328"/>
    <w:rsid w:val="003722E1"/>
    <w:rsid w:val="0037377D"/>
    <w:rsid w:val="00373E78"/>
    <w:rsid w:val="0038058F"/>
    <w:rsid w:val="00382B1F"/>
    <w:rsid w:val="00383174"/>
    <w:rsid w:val="00386783"/>
    <w:rsid w:val="00391ABA"/>
    <w:rsid w:val="0039451D"/>
    <w:rsid w:val="00394C73"/>
    <w:rsid w:val="00395E85"/>
    <w:rsid w:val="00396678"/>
    <w:rsid w:val="00397675"/>
    <w:rsid w:val="003A2305"/>
    <w:rsid w:val="003B1986"/>
    <w:rsid w:val="003B2EA6"/>
    <w:rsid w:val="003C0F2F"/>
    <w:rsid w:val="003C209A"/>
    <w:rsid w:val="003C709D"/>
    <w:rsid w:val="003C72C4"/>
    <w:rsid w:val="003D1469"/>
    <w:rsid w:val="003D2544"/>
    <w:rsid w:val="003D73ED"/>
    <w:rsid w:val="003F239B"/>
    <w:rsid w:val="00405280"/>
    <w:rsid w:val="00412152"/>
    <w:rsid w:val="0041274F"/>
    <w:rsid w:val="00412DDF"/>
    <w:rsid w:val="00415699"/>
    <w:rsid w:val="00415A19"/>
    <w:rsid w:val="00417ECC"/>
    <w:rsid w:val="00417ECD"/>
    <w:rsid w:val="00420E17"/>
    <w:rsid w:val="004254BF"/>
    <w:rsid w:val="00425F8D"/>
    <w:rsid w:val="00426D85"/>
    <w:rsid w:val="00427B4E"/>
    <w:rsid w:val="00431A45"/>
    <w:rsid w:val="00431C16"/>
    <w:rsid w:val="00432360"/>
    <w:rsid w:val="0043642E"/>
    <w:rsid w:val="00440A3D"/>
    <w:rsid w:val="00441B54"/>
    <w:rsid w:val="0044445E"/>
    <w:rsid w:val="004457FB"/>
    <w:rsid w:val="00456335"/>
    <w:rsid w:val="00463F69"/>
    <w:rsid w:val="0046475B"/>
    <w:rsid w:val="00465937"/>
    <w:rsid w:val="00473DB2"/>
    <w:rsid w:val="00474154"/>
    <w:rsid w:val="004767A2"/>
    <w:rsid w:val="00482A9B"/>
    <w:rsid w:val="00490A15"/>
    <w:rsid w:val="004A0403"/>
    <w:rsid w:val="004A33F2"/>
    <w:rsid w:val="004A3513"/>
    <w:rsid w:val="004A43E2"/>
    <w:rsid w:val="004A55AD"/>
    <w:rsid w:val="004B3A39"/>
    <w:rsid w:val="004B42F8"/>
    <w:rsid w:val="004B6BD4"/>
    <w:rsid w:val="004B723E"/>
    <w:rsid w:val="004C1688"/>
    <w:rsid w:val="004C24D7"/>
    <w:rsid w:val="004C343E"/>
    <w:rsid w:val="004C3637"/>
    <w:rsid w:val="004D0637"/>
    <w:rsid w:val="004D3B37"/>
    <w:rsid w:val="004E1675"/>
    <w:rsid w:val="004E5BD9"/>
    <w:rsid w:val="004E7AC5"/>
    <w:rsid w:val="004F23AE"/>
    <w:rsid w:val="004F3218"/>
    <w:rsid w:val="004F66F3"/>
    <w:rsid w:val="00501D29"/>
    <w:rsid w:val="00503DD0"/>
    <w:rsid w:val="005135A1"/>
    <w:rsid w:val="00515DE7"/>
    <w:rsid w:val="00520A17"/>
    <w:rsid w:val="005227F1"/>
    <w:rsid w:val="00522C10"/>
    <w:rsid w:val="0052388C"/>
    <w:rsid w:val="00525340"/>
    <w:rsid w:val="00525D98"/>
    <w:rsid w:val="005262B2"/>
    <w:rsid w:val="005277D8"/>
    <w:rsid w:val="0053312D"/>
    <w:rsid w:val="00537EA6"/>
    <w:rsid w:val="00537ECB"/>
    <w:rsid w:val="00542FC8"/>
    <w:rsid w:val="00544CA9"/>
    <w:rsid w:val="00550BAE"/>
    <w:rsid w:val="00550E77"/>
    <w:rsid w:val="00554259"/>
    <w:rsid w:val="00557411"/>
    <w:rsid w:val="00561207"/>
    <w:rsid w:val="00566BC0"/>
    <w:rsid w:val="00571C9A"/>
    <w:rsid w:val="00574983"/>
    <w:rsid w:val="00576C37"/>
    <w:rsid w:val="00581E3F"/>
    <w:rsid w:val="00585642"/>
    <w:rsid w:val="005859A2"/>
    <w:rsid w:val="005863DC"/>
    <w:rsid w:val="00586906"/>
    <w:rsid w:val="00597B69"/>
    <w:rsid w:val="005A4830"/>
    <w:rsid w:val="005A7A18"/>
    <w:rsid w:val="005B056B"/>
    <w:rsid w:val="005B6D5C"/>
    <w:rsid w:val="005C210E"/>
    <w:rsid w:val="005D6584"/>
    <w:rsid w:val="005E0712"/>
    <w:rsid w:val="005E0ECD"/>
    <w:rsid w:val="005E5DB7"/>
    <w:rsid w:val="005E792B"/>
    <w:rsid w:val="005F30BC"/>
    <w:rsid w:val="005F3553"/>
    <w:rsid w:val="005F78D4"/>
    <w:rsid w:val="0060385E"/>
    <w:rsid w:val="0060508B"/>
    <w:rsid w:val="006073E6"/>
    <w:rsid w:val="006109C2"/>
    <w:rsid w:val="006112FF"/>
    <w:rsid w:val="00611CB7"/>
    <w:rsid w:val="0061545C"/>
    <w:rsid w:val="00616B6D"/>
    <w:rsid w:val="00617E9B"/>
    <w:rsid w:val="00621574"/>
    <w:rsid w:val="00622C26"/>
    <w:rsid w:val="0062367E"/>
    <w:rsid w:val="006239FB"/>
    <w:rsid w:val="00623DF7"/>
    <w:rsid w:val="00630E54"/>
    <w:rsid w:val="006331D5"/>
    <w:rsid w:val="00642436"/>
    <w:rsid w:val="00642C01"/>
    <w:rsid w:val="0064436A"/>
    <w:rsid w:val="006445E0"/>
    <w:rsid w:val="00644AAB"/>
    <w:rsid w:val="00645614"/>
    <w:rsid w:val="0065097D"/>
    <w:rsid w:val="006511B4"/>
    <w:rsid w:val="00653934"/>
    <w:rsid w:val="00663F2B"/>
    <w:rsid w:val="00664760"/>
    <w:rsid w:val="006657E1"/>
    <w:rsid w:val="006779C7"/>
    <w:rsid w:val="00684078"/>
    <w:rsid w:val="00685251"/>
    <w:rsid w:val="00685ACD"/>
    <w:rsid w:val="00686628"/>
    <w:rsid w:val="00690840"/>
    <w:rsid w:val="00690E53"/>
    <w:rsid w:val="006959DF"/>
    <w:rsid w:val="00696919"/>
    <w:rsid w:val="006A1727"/>
    <w:rsid w:val="006A200A"/>
    <w:rsid w:val="006A23FF"/>
    <w:rsid w:val="006A6962"/>
    <w:rsid w:val="006A7363"/>
    <w:rsid w:val="006A7C4F"/>
    <w:rsid w:val="006B297B"/>
    <w:rsid w:val="006B51D2"/>
    <w:rsid w:val="006C0D3A"/>
    <w:rsid w:val="006C1FB1"/>
    <w:rsid w:val="006C3370"/>
    <w:rsid w:val="006D1758"/>
    <w:rsid w:val="006E0E84"/>
    <w:rsid w:val="006E20BA"/>
    <w:rsid w:val="006E37B4"/>
    <w:rsid w:val="006E4DB1"/>
    <w:rsid w:val="006F0A59"/>
    <w:rsid w:val="006F17AC"/>
    <w:rsid w:val="007038F1"/>
    <w:rsid w:val="0070657F"/>
    <w:rsid w:val="00712D40"/>
    <w:rsid w:val="007147FA"/>
    <w:rsid w:val="007215A7"/>
    <w:rsid w:val="00722762"/>
    <w:rsid w:val="0072650D"/>
    <w:rsid w:val="00732D27"/>
    <w:rsid w:val="00734BAB"/>
    <w:rsid w:val="00736372"/>
    <w:rsid w:val="00746041"/>
    <w:rsid w:val="007564D5"/>
    <w:rsid w:val="00757F9E"/>
    <w:rsid w:val="007639A3"/>
    <w:rsid w:val="007646CD"/>
    <w:rsid w:val="0077034E"/>
    <w:rsid w:val="00770B9E"/>
    <w:rsid w:val="00771E0A"/>
    <w:rsid w:val="00773C8E"/>
    <w:rsid w:val="00774FFE"/>
    <w:rsid w:val="007772D8"/>
    <w:rsid w:val="007816A5"/>
    <w:rsid w:val="007824A5"/>
    <w:rsid w:val="00782CAE"/>
    <w:rsid w:val="00784668"/>
    <w:rsid w:val="0078724E"/>
    <w:rsid w:val="00792DDE"/>
    <w:rsid w:val="0079729D"/>
    <w:rsid w:val="00797CD5"/>
    <w:rsid w:val="007A03F4"/>
    <w:rsid w:val="007A476A"/>
    <w:rsid w:val="007A7747"/>
    <w:rsid w:val="007B1D0E"/>
    <w:rsid w:val="007B2F7A"/>
    <w:rsid w:val="007B412B"/>
    <w:rsid w:val="007B7E94"/>
    <w:rsid w:val="007C18DC"/>
    <w:rsid w:val="007C5550"/>
    <w:rsid w:val="007C5D00"/>
    <w:rsid w:val="007D0A13"/>
    <w:rsid w:val="007D0BB8"/>
    <w:rsid w:val="007D5C52"/>
    <w:rsid w:val="007D6EFD"/>
    <w:rsid w:val="007D7037"/>
    <w:rsid w:val="007E1249"/>
    <w:rsid w:val="007F0DC9"/>
    <w:rsid w:val="007F382F"/>
    <w:rsid w:val="007F41B7"/>
    <w:rsid w:val="007F44D2"/>
    <w:rsid w:val="007F4980"/>
    <w:rsid w:val="007F5515"/>
    <w:rsid w:val="007F5D02"/>
    <w:rsid w:val="007F7D2E"/>
    <w:rsid w:val="00800BD2"/>
    <w:rsid w:val="00802C30"/>
    <w:rsid w:val="008047D8"/>
    <w:rsid w:val="00812B97"/>
    <w:rsid w:val="008162DC"/>
    <w:rsid w:val="0081783E"/>
    <w:rsid w:val="00824DFE"/>
    <w:rsid w:val="0082503B"/>
    <w:rsid w:val="00825D7D"/>
    <w:rsid w:val="00833D26"/>
    <w:rsid w:val="008372EB"/>
    <w:rsid w:val="00841BD3"/>
    <w:rsid w:val="00841C97"/>
    <w:rsid w:val="008465D7"/>
    <w:rsid w:val="00847B2B"/>
    <w:rsid w:val="008501FC"/>
    <w:rsid w:val="0085220B"/>
    <w:rsid w:val="0085303C"/>
    <w:rsid w:val="00860271"/>
    <w:rsid w:val="008618EE"/>
    <w:rsid w:val="00861CEC"/>
    <w:rsid w:val="00884264"/>
    <w:rsid w:val="00885890"/>
    <w:rsid w:val="00886426"/>
    <w:rsid w:val="0089331F"/>
    <w:rsid w:val="00896958"/>
    <w:rsid w:val="00897288"/>
    <w:rsid w:val="00897781"/>
    <w:rsid w:val="00897DA8"/>
    <w:rsid w:val="008A58E8"/>
    <w:rsid w:val="008B0BCE"/>
    <w:rsid w:val="008B1A1B"/>
    <w:rsid w:val="008C6DD2"/>
    <w:rsid w:val="008E1B53"/>
    <w:rsid w:val="008E425F"/>
    <w:rsid w:val="008E44E9"/>
    <w:rsid w:val="008F0271"/>
    <w:rsid w:val="008F148E"/>
    <w:rsid w:val="008F24E4"/>
    <w:rsid w:val="008F778A"/>
    <w:rsid w:val="009001AB"/>
    <w:rsid w:val="009013AB"/>
    <w:rsid w:val="00902188"/>
    <w:rsid w:val="0090406A"/>
    <w:rsid w:val="0091049F"/>
    <w:rsid w:val="00911BD0"/>
    <w:rsid w:val="009120C4"/>
    <w:rsid w:val="00914FD6"/>
    <w:rsid w:val="00923CE1"/>
    <w:rsid w:val="00923DD2"/>
    <w:rsid w:val="00932CE8"/>
    <w:rsid w:val="0093363E"/>
    <w:rsid w:val="0093550B"/>
    <w:rsid w:val="0094073A"/>
    <w:rsid w:val="00942B33"/>
    <w:rsid w:val="00942B49"/>
    <w:rsid w:val="00944276"/>
    <w:rsid w:val="00945107"/>
    <w:rsid w:val="0095010C"/>
    <w:rsid w:val="00951E28"/>
    <w:rsid w:val="00953143"/>
    <w:rsid w:val="00970526"/>
    <w:rsid w:val="009725C6"/>
    <w:rsid w:val="009773D1"/>
    <w:rsid w:val="009804C0"/>
    <w:rsid w:val="00984E19"/>
    <w:rsid w:val="00986481"/>
    <w:rsid w:val="00991576"/>
    <w:rsid w:val="0099161F"/>
    <w:rsid w:val="00995C08"/>
    <w:rsid w:val="009974A9"/>
    <w:rsid w:val="009A15D8"/>
    <w:rsid w:val="009A173E"/>
    <w:rsid w:val="009A4DCB"/>
    <w:rsid w:val="009A69E2"/>
    <w:rsid w:val="009A770B"/>
    <w:rsid w:val="009A7B2D"/>
    <w:rsid w:val="009B29F5"/>
    <w:rsid w:val="009C015A"/>
    <w:rsid w:val="009C2EEE"/>
    <w:rsid w:val="009D1850"/>
    <w:rsid w:val="009D4FC2"/>
    <w:rsid w:val="009D57CF"/>
    <w:rsid w:val="009D7A37"/>
    <w:rsid w:val="009E3CEC"/>
    <w:rsid w:val="009E510E"/>
    <w:rsid w:val="009E5F4F"/>
    <w:rsid w:val="009E6D28"/>
    <w:rsid w:val="009E6FEF"/>
    <w:rsid w:val="009F3F32"/>
    <w:rsid w:val="009F7E2D"/>
    <w:rsid w:val="00A019CD"/>
    <w:rsid w:val="00A11E8E"/>
    <w:rsid w:val="00A12AAE"/>
    <w:rsid w:val="00A167F4"/>
    <w:rsid w:val="00A20C43"/>
    <w:rsid w:val="00A252BD"/>
    <w:rsid w:val="00A32949"/>
    <w:rsid w:val="00A35D15"/>
    <w:rsid w:val="00A3737C"/>
    <w:rsid w:val="00A41429"/>
    <w:rsid w:val="00A43A0E"/>
    <w:rsid w:val="00A46D51"/>
    <w:rsid w:val="00A5071E"/>
    <w:rsid w:val="00A510DB"/>
    <w:rsid w:val="00A51F93"/>
    <w:rsid w:val="00A544AA"/>
    <w:rsid w:val="00A62863"/>
    <w:rsid w:val="00A65320"/>
    <w:rsid w:val="00A67E77"/>
    <w:rsid w:val="00A70FD8"/>
    <w:rsid w:val="00A7410A"/>
    <w:rsid w:val="00A74DE1"/>
    <w:rsid w:val="00A75FD7"/>
    <w:rsid w:val="00A83ABE"/>
    <w:rsid w:val="00A91598"/>
    <w:rsid w:val="00A927F1"/>
    <w:rsid w:val="00AA48A1"/>
    <w:rsid w:val="00AA5C64"/>
    <w:rsid w:val="00AB323B"/>
    <w:rsid w:val="00AB34E7"/>
    <w:rsid w:val="00AB374F"/>
    <w:rsid w:val="00AB7FC3"/>
    <w:rsid w:val="00AC0A73"/>
    <w:rsid w:val="00AC11E5"/>
    <w:rsid w:val="00AC7FB4"/>
    <w:rsid w:val="00AD005C"/>
    <w:rsid w:val="00AD2B81"/>
    <w:rsid w:val="00AD3792"/>
    <w:rsid w:val="00AD56B5"/>
    <w:rsid w:val="00AD5CA3"/>
    <w:rsid w:val="00AD6DD2"/>
    <w:rsid w:val="00AE14C5"/>
    <w:rsid w:val="00AE2745"/>
    <w:rsid w:val="00AE331F"/>
    <w:rsid w:val="00AF2B53"/>
    <w:rsid w:val="00AF2C78"/>
    <w:rsid w:val="00B056DE"/>
    <w:rsid w:val="00B06D96"/>
    <w:rsid w:val="00B10E07"/>
    <w:rsid w:val="00B1339C"/>
    <w:rsid w:val="00B17B05"/>
    <w:rsid w:val="00B21B11"/>
    <w:rsid w:val="00B2295E"/>
    <w:rsid w:val="00B2479D"/>
    <w:rsid w:val="00B25548"/>
    <w:rsid w:val="00B269DC"/>
    <w:rsid w:val="00B274FC"/>
    <w:rsid w:val="00B308E4"/>
    <w:rsid w:val="00B31AC8"/>
    <w:rsid w:val="00B3237E"/>
    <w:rsid w:val="00B35B1C"/>
    <w:rsid w:val="00B36DD8"/>
    <w:rsid w:val="00B42C5A"/>
    <w:rsid w:val="00B43415"/>
    <w:rsid w:val="00B450E8"/>
    <w:rsid w:val="00B4777D"/>
    <w:rsid w:val="00B50BEC"/>
    <w:rsid w:val="00B51432"/>
    <w:rsid w:val="00B5193E"/>
    <w:rsid w:val="00B51E29"/>
    <w:rsid w:val="00B56996"/>
    <w:rsid w:val="00B57E05"/>
    <w:rsid w:val="00B57E72"/>
    <w:rsid w:val="00B61DA2"/>
    <w:rsid w:val="00B64705"/>
    <w:rsid w:val="00B727DA"/>
    <w:rsid w:val="00B733D3"/>
    <w:rsid w:val="00B8473A"/>
    <w:rsid w:val="00B8616F"/>
    <w:rsid w:val="00B8662B"/>
    <w:rsid w:val="00B86705"/>
    <w:rsid w:val="00B92C64"/>
    <w:rsid w:val="00B94283"/>
    <w:rsid w:val="00B96DDB"/>
    <w:rsid w:val="00BA0239"/>
    <w:rsid w:val="00BA09DB"/>
    <w:rsid w:val="00BA27F8"/>
    <w:rsid w:val="00BA3183"/>
    <w:rsid w:val="00BA35B5"/>
    <w:rsid w:val="00BA3980"/>
    <w:rsid w:val="00BB144B"/>
    <w:rsid w:val="00BB1E04"/>
    <w:rsid w:val="00BB5E81"/>
    <w:rsid w:val="00BB62B1"/>
    <w:rsid w:val="00BB75E7"/>
    <w:rsid w:val="00BC4B1D"/>
    <w:rsid w:val="00BC751D"/>
    <w:rsid w:val="00BD0209"/>
    <w:rsid w:val="00BD12F2"/>
    <w:rsid w:val="00BD37D3"/>
    <w:rsid w:val="00BD7FEF"/>
    <w:rsid w:val="00BE0F3F"/>
    <w:rsid w:val="00BE2561"/>
    <w:rsid w:val="00BE32D7"/>
    <w:rsid w:val="00BE44D6"/>
    <w:rsid w:val="00BF629B"/>
    <w:rsid w:val="00BF698A"/>
    <w:rsid w:val="00BF705A"/>
    <w:rsid w:val="00C10716"/>
    <w:rsid w:val="00C111EB"/>
    <w:rsid w:val="00C1126F"/>
    <w:rsid w:val="00C12981"/>
    <w:rsid w:val="00C13129"/>
    <w:rsid w:val="00C133A6"/>
    <w:rsid w:val="00C13B0E"/>
    <w:rsid w:val="00C14746"/>
    <w:rsid w:val="00C20016"/>
    <w:rsid w:val="00C20FBC"/>
    <w:rsid w:val="00C22C58"/>
    <w:rsid w:val="00C24DB3"/>
    <w:rsid w:val="00C279BE"/>
    <w:rsid w:val="00C32F47"/>
    <w:rsid w:val="00C42C39"/>
    <w:rsid w:val="00C47081"/>
    <w:rsid w:val="00C4775A"/>
    <w:rsid w:val="00C605C6"/>
    <w:rsid w:val="00C61F60"/>
    <w:rsid w:val="00C62118"/>
    <w:rsid w:val="00C659F8"/>
    <w:rsid w:val="00C665BC"/>
    <w:rsid w:val="00C67DEC"/>
    <w:rsid w:val="00C709CC"/>
    <w:rsid w:val="00C70C44"/>
    <w:rsid w:val="00C73546"/>
    <w:rsid w:val="00C745E7"/>
    <w:rsid w:val="00C749D7"/>
    <w:rsid w:val="00C7738B"/>
    <w:rsid w:val="00C8039E"/>
    <w:rsid w:val="00C83588"/>
    <w:rsid w:val="00C847D4"/>
    <w:rsid w:val="00C860E0"/>
    <w:rsid w:val="00C865F0"/>
    <w:rsid w:val="00C87D59"/>
    <w:rsid w:val="00C9352D"/>
    <w:rsid w:val="00C96C99"/>
    <w:rsid w:val="00CA2549"/>
    <w:rsid w:val="00CA35F7"/>
    <w:rsid w:val="00CA55EF"/>
    <w:rsid w:val="00CA5EB2"/>
    <w:rsid w:val="00CA7510"/>
    <w:rsid w:val="00CB0723"/>
    <w:rsid w:val="00CB09A1"/>
    <w:rsid w:val="00CB3136"/>
    <w:rsid w:val="00CB394C"/>
    <w:rsid w:val="00CB4923"/>
    <w:rsid w:val="00CB5814"/>
    <w:rsid w:val="00CB7AF3"/>
    <w:rsid w:val="00CC163F"/>
    <w:rsid w:val="00CC1BFE"/>
    <w:rsid w:val="00CC5433"/>
    <w:rsid w:val="00CC6A71"/>
    <w:rsid w:val="00CD1F9A"/>
    <w:rsid w:val="00CD295C"/>
    <w:rsid w:val="00CD6C05"/>
    <w:rsid w:val="00CE5B21"/>
    <w:rsid w:val="00CF0FC7"/>
    <w:rsid w:val="00CF12D0"/>
    <w:rsid w:val="00CF488A"/>
    <w:rsid w:val="00CF4B91"/>
    <w:rsid w:val="00CF5AB3"/>
    <w:rsid w:val="00D03107"/>
    <w:rsid w:val="00D04442"/>
    <w:rsid w:val="00D05FA6"/>
    <w:rsid w:val="00D10614"/>
    <w:rsid w:val="00D10F2C"/>
    <w:rsid w:val="00D16956"/>
    <w:rsid w:val="00D255F3"/>
    <w:rsid w:val="00D26765"/>
    <w:rsid w:val="00D30D40"/>
    <w:rsid w:val="00D31983"/>
    <w:rsid w:val="00D365C0"/>
    <w:rsid w:val="00D43304"/>
    <w:rsid w:val="00D43B78"/>
    <w:rsid w:val="00D45BBA"/>
    <w:rsid w:val="00D45DDB"/>
    <w:rsid w:val="00D46DBD"/>
    <w:rsid w:val="00D50097"/>
    <w:rsid w:val="00D55ECD"/>
    <w:rsid w:val="00D567BD"/>
    <w:rsid w:val="00D5782B"/>
    <w:rsid w:val="00D72653"/>
    <w:rsid w:val="00D73BDE"/>
    <w:rsid w:val="00D8142E"/>
    <w:rsid w:val="00D817FF"/>
    <w:rsid w:val="00D82328"/>
    <w:rsid w:val="00D84F61"/>
    <w:rsid w:val="00D875DD"/>
    <w:rsid w:val="00D87ECE"/>
    <w:rsid w:val="00D91F03"/>
    <w:rsid w:val="00D922A1"/>
    <w:rsid w:val="00D954AB"/>
    <w:rsid w:val="00DA0650"/>
    <w:rsid w:val="00DA1AE7"/>
    <w:rsid w:val="00DA1C48"/>
    <w:rsid w:val="00DA1EF7"/>
    <w:rsid w:val="00DA7D60"/>
    <w:rsid w:val="00DB3417"/>
    <w:rsid w:val="00DB4725"/>
    <w:rsid w:val="00DB522B"/>
    <w:rsid w:val="00DC137C"/>
    <w:rsid w:val="00DC1A1C"/>
    <w:rsid w:val="00DC1F82"/>
    <w:rsid w:val="00DC2981"/>
    <w:rsid w:val="00DC72FE"/>
    <w:rsid w:val="00DD1B43"/>
    <w:rsid w:val="00DD56AC"/>
    <w:rsid w:val="00DD7AFC"/>
    <w:rsid w:val="00DE133D"/>
    <w:rsid w:val="00DE4264"/>
    <w:rsid w:val="00DE47B8"/>
    <w:rsid w:val="00DF62C8"/>
    <w:rsid w:val="00E018C5"/>
    <w:rsid w:val="00E0393C"/>
    <w:rsid w:val="00E10226"/>
    <w:rsid w:val="00E10FD4"/>
    <w:rsid w:val="00E11807"/>
    <w:rsid w:val="00E11FFB"/>
    <w:rsid w:val="00E12574"/>
    <w:rsid w:val="00E15F1E"/>
    <w:rsid w:val="00E170FC"/>
    <w:rsid w:val="00E179CE"/>
    <w:rsid w:val="00E20200"/>
    <w:rsid w:val="00E23498"/>
    <w:rsid w:val="00E259D7"/>
    <w:rsid w:val="00E2600C"/>
    <w:rsid w:val="00E3588A"/>
    <w:rsid w:val="00E40787"/>
    <w:rsid w:val="00E44595"/>
    <w:rsid w:val="00E47341"/>
    <w:rsid w:val="00E47AAC"/>
    <w:rsid w:val="00E47C4B"/>
    <w:rsid w:val="00E52408"/>
    <w:rsid w:val="00E55156"/>
    <w:rsid w:val="00E570DA"/>
    <w:rsid w:val="00E57702"/>
    <w:rsid w:val="00E57F70"/>
    <w:rsid w:val="00E619C2"/>
    <w:rsid w:val="00E6535F"/>
    <w:rsid w:val="00E678AB"/>
    <w:rsid w:val="00E7665D"/>
    <w:rsid w:val="00E76EFC"/>
    <w:rsid w:val="00E80337"/>
    <w:rsid w:val="00E821F8"/>
    <w:rsid w:val="00E8333F"/>
    <w:rsid w:val="00E8596E"/>
    <w:rsid w:val="00E87BDB"/>
    <w:rsid w:val="00E90E01"/>
    <w:rsid w:val="00E93327"/>
    <w:rsid w:val="00E93811"/>
    <w:rsid w:val="00E9440D"/>
    <w:rsid w:val="00E95EDE"/>
    <w:rsid w:val="00E97192"/>
    <w:rsid w:val="00E977A2"/>
    <w:rsid w:val="00EA35BD"/>
    <w:rsid w:val="00EA4127"/>
    <w:rsid w:val="00EA551C"/>
    <w:rsid w:val="00EB58A1"/>
    <w:rsid w:val="00EB5C45"/>
    <w:rsid w:val="00EC6F7C"/>
    <w:rsid w:val="00ED320A"/>
    <w:rsid w:val="00ED6F26"/>
    <w:rsid w:val="00EE2E48"/>
    <w:rsid w:val="00EE64CC"/>
    <w:rsid w:val="00EF0AE4"/>
    <w:rsid w:val="00EF6256"/>
    <w:rsid w:val="00EF74FC"/>
    <w:rsid w:val="00F049D1"/>
    <w:rsid w:val="00F06A69"/>
    <w:rsid w:val="00F074B0"/>
    <w:rsid w:val="00F10517"/>
    <w:rsid w:val="00F11091"/>
    <w:rsid w:val="00F15793"/>
    <w:rsid w:val="00F33FC4"/>
    <w:rsid w:val="00F343B9"/>
    <w:rsid w:val="00F35ED1"/>
    <w:rsid w:val="00F377AB"/>
    <w:rsid w:val="00F404DA"/>
    <w:rsid w:val="00F40DDF"/>
    <w:rsid w:val="00F47572"/>
    <w:rsid w:val="00F50D39"/>
    <w:rsid w:val="00F57041"/>
    <w:rsid w:val="00F60B8F"/>
    <w:rsid w:val="00F618AD"/>
    <w:rsid w:val="00F62419"/>
    <w:rsid w:val="00F6304A"/>
    <w:rsid w:val="00F635B2"/>
    <w:rsid w:val="00F63CFE"/>
    <w:rsid w:val="00F6710F"/>
    <w:rsid w:val="00F700AF"/>
    <w:rsid w:val="00F73240"/>
    <w:rsid w:val="00F76E78"/>
    <w:rsid w:val="00F834A1"/>
    <w:rsid w:val="00F85660"/>
    <w:rsid w:val="00F85F6B"/>
    <w:rsid w:val="00F87CA6"/>
    <w:rsid w:val="00F95F3D"/>
    <w:rsid w:val="00F96E34"/>
    <w:rsid w:val="00F970FB"/>
    <w:rsid w:val="00F97269"/>
    <w:rsid w:val="00F97C65"/>
    <w:rsid w:val="00FA0D96"/>
    <w:rsid w:val="00FA0FF0"/>
    <w:rsid w:val="00FA2FF0"/>
    <w:rsid w:val="00FA3931"/>
    <w:rsid w:val="00FA5A73"/>
    <w:rsid w:val="00FA5BB5"/>
    <w:rsid w:val="00FA6B97"/>
    <w:rsid w:val="00FA6E46"/>
    <w:rsid w:val="00FB48D5"/>
    <w:rsid w:val="00FC1B6B"/>
    <w:rsid w:val="00FC26FD"/>
    <w:rsid w:val="00FC2EAB"/>
    <w:rsid w:val="00FC5ACA"/>
    <w:rsid w:val="00FC6117"/>
    <w:rsid w:val="00FC77DF"/>
    <w:rsid w:val="00FD79BC"/>
    <w:rsid w:val="00FE13DF"/>
    <w:rsid w:val="00FE291C"/>
    <w:rsid w:val="00FE3046"/>
    <w:rsid w:val="00FE47CA"/>
    <w:rsid w:val="00FF3021"/>
    <w:rsid w:val="00FF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47C4B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13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BA3183"/>
    <w:pPr>
      <w:keepLines/>
      <w:numPr>
        <w:ilvl w:val="1"/>
      </w:numPr>
      <w:tabs>
        <w:tab w:val="clear" w:pos="1134"/>
        <w:tab w:val="num" w:pos="0"/>
      </w:tabs>
      <w:ind w:left="0" w:hanging="709"/>
      <w:outlineLvl w:val="1"/>
    </w:pPr>
    <w:rPr>
      <w:rFonts w:asciiTheme="minorHAnsi" w:hAnsiTheme="minorHAnsi"/>
      <w:b w:val="0"/>
      <w:bCs/>
      <w:iCs/>
      <w:sz w:val="22"/>
      <w:szCs w:val="22"/>
    </w:rPr>
  </w:style>
  <w:style w:type="paragraph" w:styleId="Nadpis3">
    <w:name w:val="heading 3"/>
    <w:basedOn w:val="Nadpis2"/>
    <w:next w:val="Normln"/>
    <w:qFormat/>
    <w:rsid w:val="0053312D"/>
    <w:pPr>
      <w:numPr>
        <w:ilvl w:val="2"/>
      </w:numPr>
      <w:tabs>
        <w:tab w:val="clear" w:pos="1134"/>
        <w:tab w:val="num" w:pos="0"/>
      </w:tabs>
      <w:ind w:left="0" w:hanging="709"/>
      <w:outlineLvl w:val="2"/>
    </w:pPr>
    <w:rPr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630E54"/>
    <w:pPr>
      <w:spacing w:after="120"/>
    </w:pPr>
    <w:rPr>
      <w:bCs/>
    </w:rPr>
  </w:style>
  <w:style w:type="paragraph" w:styleId="Nzev">
    <w:name w:val="Title"/>
    <w:basedOn w:val="Normln"/>
    <w:next w:val="Normln"/>
    <w:link w:val="NzevChar"/>
    <w:qFormat/>
    <w:rsid w:val="0061545C"/>
    <w:pPr>
      <w:spacing w:before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1545C"/>
    <w:rPr>
      <w:rFonts w:ascii="Calibri" w:hAnsi="Calibri"/>
      <w:b/>
      <w:bCs/>
      <w:kern w:val="28"/>
      <w:sz w:val="32"/>
      <w:szCs w:val="32"/>
    </w:rPr>
  </w:style>
  <w:style w:type="paragraph" w:customStyle="1" w:styleId="zzNadpisodsazen">
    <w:name w:val="zz Nadpis odsazený"/>
    <w:basedOn w:val="Nadpis"/>
    <w:next w:val="Normln"/>
    <w:rsid w:val="00630E54"/>
    <w:pPr>
      <w:ind w:left="284"/>
    </w:pPr>
  </w:style>
  <w:style w:type="paragraph" w:styleId="Seznamsodrkami">
    <w:name w:val="List Bullet"/>
    <w:basedOn w:val="Normln"/>
    <w:rsid w:val="00630E5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630E5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Default">
    <w:name w:val="Default"/>
    <w:rsid w:val="007215A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7215A7"/>
    <w:pPr>
      <w:spacing w:before="0" w:after="160" w:line="288" w:lineRule="auto"/>
      <w:ind w:left="720"/>
      <w:contextualSpacing/>
      <w:jc w:val="left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val="en-US" w:eastAsia="en-US" w:bidi="en-US"/>
    </w:rPr>
  </w:style>
  <w:style w:type="table" w:styleId="Mkatabulky">
    <w:name w:val="Table Grid"/>
    <w:basedOn w:val="Normlntabulka"/>
    <w:uiPriority w:val="59"/>
    <w:rsid w:val="007215A7"/>
    <w:pPr>
      <w:ind w:left="2160"/>
    </w:pPr>
    <w:rPr>
      <w:rFonts w:asciiTheme="minorHAnsi" w:eastAsiaTheme="minorHAnsi" w:hAnsiTheme="minorHAnsi" w:cstheme="minorBidi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zNadpisvceodsazen">
    <w:name w:val="zz Nadpis více odsazený"/>
    <w:basedOn w:val="zzNadpisodsazen"/>
    <w:next w:val="Normln"/>
    <w:rsid w:val="00630E5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7215A7"/>
    <w:rPr>
      <w:color w:val="0000FF"/>
      <w:u w:val="single"/>
    </w:rPr>
  </w:style>
  <w:style w:type="paragraph" w:customStyle="1" w:styleId="Seznamsodrkamivceodsazen">
    <w:name w:val="Seznam s odrážkami více odsazený"/>
    <w:basedOn w:val="Seznamsodrkamiodsazen"/>
    <w:rsid w:val="00630E5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character" w:styleId="Odkaznakoment">
    <w:name w:val="annotation reference"/>
    <w:basedOn w:val="Standardnpsmoodstavce"/>
    <w:unhideWhenUsed/>
    <w:rsid w:val="007215A7"/>
    <w:rPr>
      <w:sz w:val="16"/>
      <w:szCs w:val="16"/>
    </w:r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uiPriority w:val="99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basedOn w:val="Odrazka1Char"/>
    <w:link w:val="Odrazka2"/>
    <w:rsid w:val="001E2636"/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</w:style>
  <w:style w:type="paragraph" w:styleId="Normlnweb">
    <w:name w:val="Normal (Web)"/>
    <w:basedOn w:val="Normln"/>
    <w:uiPriority w:val="99"/>
    <w:unhideWhenUsed/>
    <w:rsid w:val="00BA35B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highlight">
    <w:name w:val="highlight"/>
    <w:basedOn w:val="Standardnpsmoodstavce"/>
    <w:rsid w:val="00BA35B5"/>
  </w:style>
  <w:style w:type="paragraph" w:styleId="Textpoznpodarou">
    <w:name w:val="footnote text"/>
    <w:basedOn w:val="Normln"/>
    <w:link w:val="TextpoznpodarouChar"/>
    <w:unhideWhenUsed/>
    <w:rsid w:val="00BA35B5"/>
    <w:pPr>
      <w:spacing w:before="0" w:after="0" w:line="240" w:lineRule="auto"/>
      <w:ind w:left="2160"/>
      <w:jc w:val="left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 w:bidi="en-US"/>
    </w:rPr>
  </w:style>
  <w:style w:type="character" w:customStyle="1" w:styleId="TextpoznpodarouChar">
    <w:name w:val="Text pozn. pod čarou Char"/>
    <w:basedOn w:val="Standardnpsmoodstavce"/>
    <w:link w:val="Textpoznpodarou"/>
    <w:rsid w:val="00BA35B5"/>
    <w:rPr>
      <w:rFonts w:asciiTheme="minorHAnsi" w:eastAsiaTheme="minorHAnsi" w:hAnsiTheme="minorHAnsi" w:cstheme="minorBidi"/>
      <w:color w:val="5A5A5A" w:themeColor="text1" w:themeTint="A5"/>
      <w:lang w:eastAsia="en-US" w:bidi="en-US"/>
    </w:rPr>
  </w:style>
  <w:style w:type="character" w:styleId="Znakapoznpodarou">
    <w:name w:val="footnote reference"/>
    <w:basedOn w:val="Standardnpsmoodstavce"/>
    <w:unhideWhenUsed/>
    <w:rsid w:val="00BA35B5"/>
    <w:rPr>
      <w:vertAlign w:val="superscript"/>
    </w:rPr>
  </w:style>
  <w:style w:type="character" w:customStyle="1" w:styleId="st">
    <w:name w:val="st"/>
    <w:basedOn w:val="Standardnpsmoodstavce"/>
    <w:rsid w:val="00C1126F"/>
  </w:style>
  <w:style w:type="character" w:styleId="Zvraznn">
    <w:name w:val="Emphasis"/>
    <w:basedOn w:val="Standardnpsmoodstavce"/>
    <w:uiPriority w:val="20"/>
    <w:qFormat/>
    <w:rsid w:val="00C112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F739-7BC3-46F6-A913-97E86EDB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3691</Words>
  <Characters>21783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</vt:lpstr>
    </vt:vector>
  </TitlesOfParts>
  <Company>Hewlett-Packard Company</Company>
  <LinksUpToDate>false</LinksUpToDate>
  <CharactersWithSpaces>25424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</dc:title>
  <dc:creator>Zuska Karel</dc:creator>
  <cp:lastModifiedBy>269</cp:lastModifiedBy>
  <cp:revision>2</cp:revision>
  <cp:lastPrinted>2014-11-24T13:50:00Z</cp:lastPrinted>
  <dcterms:created xsi:type="dcterms:W3CDTF">2015-05-28T05:28:00Z</dcterms:created>
  <dcterms:modified xsi:type="dcterms:W3CDTF">2015-05-28T05:28:00Z</dcterms:modified>
</cp:coreProperties>
</file>