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A3C62" w14:textId="77777777"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0A9200E7" wp14:editId="1E39618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950A80">
        <w:rPr>
          <w:noProof/>
        </w:rPr>
        <w:drawing>
          <wp:inline distT="0" distB="0" distL="0" distR="0" wp14:anchorId="1A5E6590" wp14:editId="326AF4AB">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33EB6C85"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69AEF9F7" w14:textId="77777777" w:rsidR="006652E3" w:rsidRPr="00FD776F" w:rsidRDefault="006652E3" w:rsidP="006652E3">
      <w:pPr>
        <w:tabs>
          <w:tab w:val="left" w:pos="4301"/>
        </w:tabs>
        <w:rPr>
          <w:rFonts w:ascii="Arial" w:hAnsi="Arial" w:cs="Arial"/>
          <w:color w:val="333399"/>
          <w:sz w:val="20"/>
          <w:szCs w:val="20"/>
        </w:rPr>
      </w:pPr>
    </w:p>
    <w:p w14:paraId="78B855CA" w14:textId="77777777" w:rsidR="006652E3" w:rsidRPr="00FD776F" w:rsidRDefault="006652E3" w:rsidP="006652E3">
      <w:pPr>
        <w:tabs>
          <w:tab w:val="left" w:pos="4301"/>
        </w:tabs>
        <w:rPr>
          <w:rFonts w:ascii="Arial" w:hAnsi="Arial" w:cs="Arial"/>
          <w:sz w:val="22"/>
          <w:szCs w:val="22"/>
        </w:rPr>
      </w:pPr>
    </w:p>
    <w:p w14:paraId="52C01726" w14:textId="77777777" w:rsidR="006652E3" w:rsidRPr="004959DA" w:rsidRDefault="006652E3" w:rsidP="004D7B7F">
      <w:pPr>
        <w:tabs>
          <w:tab w:val="left" w:pos="4301"/>
        </w:tabs>
        <w:jc w:val="right"/>
        <w:rPr>
          <w:rFonts w:ascii="Arial" w:hAnsi="Arial" w:cs="Arial"/>
          <w:sz w:val="22"/>
          <w:szCs w:val="22"/>
        </w:rPr>
      </w:pPr>
    </w:p>
    <w:p w14:paraId="2E44F4E2" w14:textId="77777777" w:rsidR="006652E3" w:rsidRPr="004959DA" w:rsidRDefault="006652E3" w:rsidP="004E5065">
      <w:pPr>
        <w:tabs>
          <w:tab w:val="left" w:pos="4301"/>
        </w:tabs>
        <w:jc w:val="right"/>
        <w:rPr>
          <w:rFonts w:ascii="Arial" w:hAnsi="Arial" w:cs="Arial"/>
          <w:sz w:val="22"/>
          <w:szCs w:val="22"/>
        </w:rPr>
      </w:pPr>
    </w:p>
    <w:p w14:paraId="2673410B"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2E930CA7"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5A592B59"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29E0D684" w14:textId="77777777"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D46C77">
        <w:rPr>
          <w:rFonts w:asciiTheme="minorHAnsi" w:hAnsiTheme="minorHAnsi" w:cs="Arial"/>
          <w:sz w:val="22"/>
          <w:szCs w:val="22"/>
        </w:rPr>
        <w:t>KUKHK–</w:t>
      </w:r>
      <w:r w:rsidR="00950A80">
        <w:rPr>
          <w:rFonts w:asciiTheme="minorHAnsi" w:hAnsiTheme="minorHAnsi" w:cs="Arial"/>
          <w:sz w:val="22"/>
          <w:szCs w:val="22"/>
        </w:rPr>
        <w:t>6197</w:t>
      </w:r>
      <w:r w:rsidR="00F70486" w:rsidRPr="00D46C77">
        <w:rPr>
          <w:rFonts w:asciiTheme="minorHAnsi" w:hAnsiTheme="minorHAnsi" w:cs="Arial"/>
          <w:sz w:val="22"/>
          <w:szCs w:val="22"/>
        </w:rPr>
        <w:t>/DS/20</w:t>
      </w:r>
      <w:r w:rsidR="00950A80">
        <w:rPr>
          <w:rFonts w:asciiTheme="minorHAnsi" w:hAnsiTheme="minorHAnsi" w:cs="Arial"/>
          <w:sz w:val="22"/>
          <w:szCs w:val="22"/>
        </w:rPr>
        <w:t>20</w:t>
      </w:r>
      <w:r w:rsidR="00F70486" w:rsidRPr="00D46C77">
        <w:rPr>
          <w:rFonts w:asciiTheme="minorHAnsi" w:hAnsiTheme="minorHAnsi" w:cs="Arial"/>
          <w:sz w:val="22"/>
          <w:szCs w:val="22"/>
        </w:rPr>
        <w:t xml:space="preserve">-2 </w:t>
      </w:r>
      <w:r w:rsidR="00950A80">
        <w:rPr>
          <w:rFonts w:asciiTheme="minorHAnsi" w:hAnsiTheme="minorHAnsi" w:cs="Arial"/>
          <w:sz w:val="22"/>
          <w:szCs w:val="22"/>
        </w:rPr>
        <w:t>(</w:t>
      </w:r>
      <w:r w:rsidR="004705CD" w:rsidRPr="00D46C77">
        <w:rPr>
          <w:rFonts w:asciiTheme="minorHAnsi" w:hAnsiTheme="minorHAnsi" w:cs="Arial"/>
          <w:sz w:val="22"/>
          <w:szCs w:val="22"/>
        </w:rPr>
        <w:t>Ma</w:t>
      </w:r>
      <w:r w:rsidR="00950A80">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31924FFC"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55133BB4"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5DE65B54"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694A97C7"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6DADAD91"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3AE892AE" w14:textId="77777777" w:rsidR="006652E3" w:rsidRPr="00FD776F" w:rsidRDefault="006652E3" w:rsidP="00700541">
      <w:pPr>
        <w:tabs>
          <w:tab w:val="left" w:pos="6379"/>
        </w:tabs>
        <w:rPr>
          <w:rFonts w:ascii="Arial" w:hAnsi="Arial" w:cs="Arial"/>
          <w:color w:val="333399"/>
          <w:sz w:val="20"/>
          <w:szCs w:val="20"/>
        </w:rPr>
      </w:pPr>
    </w:p>
    <w:p w14:paraId="074FF28F" w14:textId="77777777"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950A80">
        <w:rPr>
          <w:rFonts w:ascii="Arial" w:hAnsi="Arial" w:cs="Arial"/>
          <w:sz w:val="20"/>
          <w:szCs w:val="20"/>
        </w:rPr>
        <w:t>07</w:t>
      </w:r>
      <w:r w:rsidR="004D7B7F" w:rsidRPr="00DF0BAC">
        <w:rPr>
          <w:rFonts w:ascii="Arial" w:hAnsi="Arial" w:cs="Arial"/>
          <w:sz w:val="20"/>
          <w:szCs w:val="20"/>
        </w:rPr>
        <w:t>. 0</w:t>
      </w:r>
      <w:r w:rsidR="00950A80">
        <w:rPr>
          <w:rFonts w:ascii="Arial" w:hAnsi="Arial" w:cs="Arial"/>
          <w:sz w:val="20"/>
          <w:szCs w:val="20"/>
        </w:rPr>
        <w:t>2</w:t>
      </w:r>
      <w:r w:rsidR="004D7B7F" w:rsidRPr="005B3FB4">
        <w:rPr>
          <w:rFonts w:ascii="Arial" w:hAnsi="Arial" w:cs="Arial"/>
          <w:sz w:val="20"/>
          <w:szCs w:val="20"/>
        </w:rPr>
        <w:t>. 20</w:t>
      </w:r>
      <w:r w:rsidR="00950A80">
        <w:rPr>
          <w:rFonts w:ascii="Arial" w:hAnsi="Arial" w:cs="Arial"/>
          <w:sz w:val="20"/>
          <w:szCs w:val="20"/>
        </w:rPr>
        <w:t>20</w:t>
      </w:r>
    </w:p>
    <w:p w14:paraId="21190728" w14:textId="77777777" w:rsidR="006652E3" w:rsidRPr="004E5065" w:rsidRDefault="006652E3" w:rsidP="008E6179">
      <w:pPr>
        <w:rPr>
          <w:rFonts w:ascii="Arial" w:hAnsi="Arial" w:cs="Arial"/>
          <w:color w:val="333399"/>
          <w:sz w:val="20"/>
          <w:szCs w:val="20"/>
        </w:rPr>
      </w:pPr>
    </w:p>
    <w:p w14:paraId="58344DA4" w14:textId="77777777"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6B440C">
        <w:rPr>
          <w:rFonts w:ascii="Arial" w:hAnsi="Arial" w:cs="Arial"/>
          <w:color w:val="333399"/>
          <w:sz w:val="20"/>
          <w:szCs w:val="20"/>
        </w:rPr>
        <w:t>3</w:t>
      </w:r>
    </w:p>
    <w:p w14:paraId="69936AB0"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770C12C"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1BAF89A8"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840AF40" w14:textId="77777777" w:rsidR="006652E3" w:rsidRDefault="006652E3" w:rsidP="008E6179">
      <w:pPr>
        <w:rPr>
          <w:rFonts w:ascii="Arial" w:hAnsi="Arial" w:cs="Arial"/>
          <w:sz w:val="22"/>
          <w:szCs w:val="22"/>
        </w:rPr>
      </w:pPr>
    </w:p>
    <w:p w14:paraId="248FED17" w14:textId="77777777" w:rsidR="00930EC4" w:rsidRDefault="00930EC4" w:rsidP="008E6179">
      <w:pPr>
        <w:rPr>
          <w:rFonts w:ascii="Arial" w:hAnsi="Arial" w:cs="Arial"/>
          <w:sz w:val="22"/>
          <w:szCs w:val="22"/>
        </w:rPr>
      </w:pPr>
    </w:p>
    <w:p w14:paraId="40873FBB"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1FA4C180" w14:textId="77777777" w:rsidR="00377A18" w:rsidRPr="002E5153" w:rsidRDefault="00377A18" w:rsidP="00377A18">
      <w:pPr>
        <w:pStyle w:val="Zkladntext"/>
        <w:spacing w:line="276" w:lineRule="auto"/>
        <w:rPr>
          <w:rFonts w:ascii="Calibri" w:hAnsi="Calibri"/>
        </w:rPr>
      </w:pPr>
    </w:p>
    <w:p w14:paraId="0EA019CE" w14:textId="77777777" w:rsidR="00924795" w:rsidRPr="00991BC8" w:rsidRDefault="00924795" w:rsidP="00924795">
      <w:pPr>
        <w:pStyle w:val="Zkladntext"/>
      </w:pPr>
    </w:p>
    <w:p w14:paraId="2F0AA032" w14:textId="2568BF6A" w:rsidR="00AD66A7" w:rsidRDefault="00924795" w:rsidP="00924795">
      <w:pPr>
        <w:pStyle w:val="Zkladntext"/>
        <w:spacing w:line="276" w:lineRule="auto"/>
        <w:jc w:val="both"/>
        <w:rPr>
          <w:rFonts w:asciiTheme="minorHAnsi" w:hAnsi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 ve znění pozdějších předpisů, (dále jen „správní řád“) rozhodl </w:t>
      </w:r>
      <w:r w:rsidR="004E0700">
        <w:rPr>
          <w:rFonts w:asciiTheme="minorHAnsi" w:hAnsiTheme="minorHAnsi"/>
          <w:sz w:val="22"/>
          <w:szCs w:val="22"/>
        </w:rPr>
        <w:t xml:space="preserve">o </w:t>
      </w:r>
      <w:r w:rsidR="004E0700" w:rsidRPr="00950A91">
        <w:rPr>
          <w:rFonts w:asciiTheme="minorHAnsi" w:hAnsiTheme="minorHAnsi"/>
          <w:b/>
          <w:sz w:val="22"/>
          <w:szCs w:val="22"/>
        </w:rPr>
        <w:t>odvolání</w:t>
      </w:r>
      <w:r w:rsidR="003A616D">
        <w:rPr>
          <w:rFonts w:asciiTheme="minorHAnsi" w:hAnsiTheme="minorHAnsi"/>
          <w:b/>
          <w:sz w:val="22"/>
          <w:szCs w:val="22"/>
        </w:rPr>
        <w:t xml:space="preserve"> </w:t>
      </w:r>
      <w:r w:rsidR="00AD66A7">
        <w:rPr>
          <w:rFonts w:asciiTheme="minorHAnsi" w:hAnsiTheme="minorHAnsi"/>
          <w:b/>
          <w:sz w:val="22"/>
          <w:szCs w:val="22"/>
        </w:rPr>
        <w:t xml:space="preserve">pana </w:t>
      </w:r>
      <w:r w:rsidR="00837329">
        <w:rPr>
          <w:rFonts w:asciiTheme="minorHAnsi" w:hAnsiTheme="minorHAnsi"/>
          <w:b/>
          <w:sz w:val="22"/>
          <w:szCs w:val="22"/>
        </w:rPr>
        <w:t>------------------------------------</w:t>
      </w:r>
      <w:r w:rsidR="00AD66A7">
        <w:rPr>
          <w:rFonts w:asciiTheme="minorHAnsi" w:hAnsiTheme="minorHAnsi"/>
          <w:b/>
          <w:sz w:val="22"/>
          <w:szCs w:val="22"/>
        </w:rPr>
        <w:t xml:space="preserve">, proti rozhodnutí Městského úřadu Hořice </w:t>
      </w:r>
      <w:proofErr w:type="spellStart"/>
      <w:r w:rsidR="00AD66A7">
        <w:rPr>
          <w:rFonts w:asciiTheme="minorHAnsi" w:hAnsiTheme="minorHAnsi"/>
          <w:b/>
          <w:sz w:val="22"/>
          <w:szCs w:val="22"/>
        </w:rPr>
        <w:t>sp.zn</w:t>
      </w:r>
      <w:proofErr w:type="spellEnd"/>
      <w:r w:rsidR="00AD66A7">
        <w:rPr>
          <w:rFonts w:asciiTheme="minorHAnsi" w:hAnsiTheme="minorHAnsi"/>
          <w:b/>
          <w:sz w:val="22"/>
          <w:szCs w:val="22"/>
        </w:rPr>
        <w:t>. MUHCDO/20988/2018/</w:t>
      </w:r>
      <w:proofErr w:type="spellStart"/>
      <w:r w:rsidR="00AD66A7">
        <w:rPr>
          <w:rFonts w:asciiTheme="minorHAnsi" w:hAnsiTheme="minorHAnsi"/>
          <w:b/>
          <w:sz w:val="22"/>
          <w:szCs w:val="22"/>
        </w:rPr>
        <w:t>Lu</w:t>
      </w:r>
      <w:proofErr w:type="spellEnd"/>
      <w:r w:rsidR="00AD66A7">
        <w:rPr>
          <w:rFonts w:asciiTheme="minorHAnsi" w:hAnsiTheme="minorHAnsi"/>
          <w:b/>
          <w:sz w:val="22"/>
          <w:szCs w:val="22"/>
        </w:rPr>
        <w:t xml:space="preserve"> ze dne 29. 05. 2019, kterým bylo </w:t>
      </w:r>
      <w:r w:rsidR="007A332E">
        <w:rPr>
          <w:rFonts w:asciiTheme="minorHAnsi" w:hAnsiTheme="minorHAnsi"/>
          <w:b/>
          <w:sz w:val="22"/>
          <w:szCs w:val="22"/>
        </w:rPr>
        <w:t>rozhodnuto o</w:t>
      </w:r>
      <w:r w:rsidR="00AD66A7">
        <w:rPr>
          <w:rFonts w:asciiTheme="minorHAnsi" w:hAnsiTheme="minorHAnsi"/>
          <w:b/>
          <w:sz w:val="22"/>
          <w:szCs w:val="22"/>
        </w:rPr>
        <w:t xml:space="preserve"> zrušení železničního přejezdu P4464 v dr. km 52,127 na železniční trati Chlumec nad Cidlinou – Trutnov střed, </w:t>
      </w:r>
      <w:r w:rsidR="00184393">
        <w:rPr>
          <w:rFonts w:asciiTheme="minorHAnsi" w:hAnsiTheme="minorHAnsi"/>
          <w:b/>
          <w:sz w:val="22"/>
          <w:szCs w:val="22"/>
        </w:rPr>
        <w:t>u</w:t>
      </w:r>
      <w:r w:rsidR="00AD66A7">
        <w:rPr>
          <w:rFonts w:asciiTheme="minorHAnsi" w:hAnsiTheme="minorHAnsi"/>
          <w:b/>
          <w:sz w:val="22"/>
          <w:szCs w:val="22"/>
        </w:rPr>
        <w:t>místěn</w:t>
      </w:r>
      <w:r w:rsidR="00184393">
        <w:rPr>
          <w:rFonts w:asciiTheme="minorHAnsi" w:hAnsiTheme="minorHAnsi"/>
          <w:b/>
          <w:sz w:val="22"/>
          <w:szCs w:val="22"/>
        </w:rPr>
        <w:t>ého</w:t>
      </w:r>
      <w:r w:rsidR="00AD66A7">
        <w:rPr>
          <w:rFonts w:asciiTheme="minorHAnsi" w:hAnsiTheme="minorHAnsi"/>
          <w:b/>
          <w:sz w:val="22"/>
          <w:szCs w:val="22"/>
        </w:rPr>
        <w:t xml:space="preserve"> na pozemku p.č. 1317/3 v k.ú. Holovousy </w:t>
      </w:r>
      <w:r w:rsidR="003A297B">
        <w:rPr>
          <w:rFonts w:asciiTheme="minorHAnsi" w:hAnsiTheme="minorHAnsi"/>
          <w:b/>
          <w:sz w:val="22"/>
          <w:szCs w:val="22"/>
        </w:rPr>
        <w:t>v </w:t>
      </w:r>
      <w:proofErr w:type="gramStart"/>
      <w:r w:rsidR="003A297B">
        <w:rPr>
          <w:rFonts w:asciiTheme="minorHAnsi" w:hAnsiTheme="minorHAnsi"/>
          <w:b/>
          <w:sz w:val="22"/>
          <w:szCs w:val="22"/>
        </w:rPr>
        <w:t>Podkrkonoší,</w:t>
      </w:r>
      <w:r w:rsidR="00AD66A7">
        <w:rPr>
          <w:rFonts w:asciiTheme="minorHAnsi" w:hAnsiTheme="minorHAnsi"/>
          <w:b/>
          <w:sz w:val="22"/>
          <w:szCs w:val="22"/>
        </w:rPr>
        <w:t xml:space="preserve">  </w:t>
      </w:r>
      <w:r w:rsidR="003A297B">
        <w:rPr>
          <w:rFonts w:asciiTheme="minorHAnsi" w:hAnsiTheme="minorHAnsi"/>
          <w:b/>
          <w:sz w:val="22"/>
          <w:szCs w:val="22"/>
        </w:rPr>
        <w:t>takto</w:t>
      </w:r>
      <w:proofErr w:type="gramEnd"/>
      <w:r w:rsidR="003A297B">
        <w:rPr>
          <w:rFonts w:asciiTheme="minorHAnsi" w:hAnsiTheme="minorHAnsi"/>
          <w:b/>
          <w:sz w:val="22"/>
          <w:szCs w:val="22"/>
        </w:rPr>
        <w:t>:</w:t>
      </w:r>
    </w:p>
    <w:p w14:paraId="45B06605" w14:textId="77777777" w:rsidR="003A297B" w:rsidRDefault="003A297B" w:rsidP="00924795">
      <w:pPr>
        <w:pStyle w:val="Zkladntext"/>
        <w:spacing w:line="276" w:lineRule="auto"/>
        <w:jc w:val="both"/>
        <w:rPr>
          <w:rFonts w:asciiTheme="minorHAnsi" w:hAnsiTheme="minorHAnsi"/>
          <w:b/>
          <w:sz w:val="22"/>
          <w:szCs w:val="22"/>
        </w:rPr>
      </w:pPr>
    </w:p>
    <w:p w14:paraId="1B46AF13" w14:textId="77777777"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950A80">
        <w:rPr>
          <w:rFonts w:asciiTheme="minorHAnsi" w:hAnsiTheme="minorHAnsi"/>
          <w:b/>
          <w:sz w:val="22"/>
          <w:szCs w:val="22"/>
        </w:rPr>
        <w:t>0</w:t>
      </w:r>
      <w:r w:rsidRPr="003A297B">
        <w:rPr>
          <w:rFonts w:asciiTheme="minorHAnsi" w:hAnsiTheme="minorHAnsi"/>
          <w:b/>
          <w:sz w:val="22"/>
          <w:szCs w:val="22"/>
        </w:rPr>
        <w:t xml:space="preserve"> odst. 1) </w:t>
      </w:r>
      <w:r w:rsidR="00950A80">
        <w:rPr>
          <w:rFonts w:asciiTheme="minorHAnsi" w:hAnsiTheme="minorHAnsi"/>
          <w:b/>
          <w:sz w:val="22"/>
          <w:szCs w:val="22"/>
        </w:rPr>
        <w:t xml:space="preserve">písm. b) </w:t>
      </w:r>
      <w:r w:rsidRPr="003A297B">
        <w:rPr>
          <w:rFonts w:asciiTheme="minorHAnsi" w:hAnsiTheme="minorHAnsi"/>
          <w:b/>
          <w:sz w:val="22"/>
          <w:szCs w:val="22"/>
        </w:rPr>
        <w:t>správního řádu se odvolání</w:t>
      </w:r>
      <w:r w:rsidR="00950A80">
        <w:rPr>
          <w:rFonts w:asciiTheme="minorHAnsi" w:hAnsiTheme="minorHAnsi"/>
          <w:b/>
          <w:sz w:val="22"/>
          <w:szCs w:val="22"/>
        </w:rPr>
        <w:t>m napadené rozhodnutí ruší a věc se vrací k projednání Městskému úřadu Hořice.</w:t>
      </w:r>
    </w:p>
    <w:p w14:paraId="01B73CE7" w14:textId="77777777" w:rsidR="00924795" w:rsidRDefault="00924795" w:rsidP="00924795">
      <w:pPr>
        <w:jc w:val="both"/>
        <w:rPr>
          <w:rFonts w:asciiTheme="minorHAnsi" w:hAnsiTheme="minorHAnsi"/>
          <w:sz w:val="22"/>
          <w:szCs w:val="22"/>
        </w:rPr>
      </w:pPr>
    </w:p>
    <w:p w14:paraId="6DA82AF4" w14:textId="77777777" w:rsidR="003A297B" w:rsidRDefault="003A297B" w:rsidP="00924795">
      <w:pPr>
        <w:jc w:val="both"/>
        <w:rPr>
          <w:rFonts w:asciiTheme="minorHAnsi" w:hAnsiTheme="minorHAnsi"/>
          <w:sz w:val="22"/>
          <w:szCs w:val="22"/>
        </w:rPr>
      </w:pPr>
    </w:p>
    <w:p w14:paraId="6784C5F5" w14:textId="77777777" w:rsidR="003A297B" w:rsidRDefault="003A297B" w:rsidP="00924795">
      <w:pPr>
        <w:jc w:val="both"/>
        <w:rPr>
          <w:rFonts w:asciiTheme="minorHAnsi" w:hAnsiTheme="minorHAnsi"/>
          <w:sz w:val="22"/>
          <w:szCs w:val="22"/>
        </w:rPr>
      </w:pPr>
    </w:p>
    <w:p w14:paraId="6BAB2763" w14:textId="77777777" w:rsidR="003A297B" w:rsidRDefault="003A297B" w:rsidP="00924795">
      <w:pPr>
        <w:jc w:val="both"/>
        <w:rPr>
          <w:rFonts w:asciiTheme="minorHAnsi" w:hAnsiTheme="minorHAnsi"/>
          <w:sz w:val="22"/>
          <w:szCs w:val="22"/>
        </w:rPr>
      </w:pPr>
    </w:p>
    <w:p w14:paraId="2012E393" w14:textId="77777777" w:rsidR="003A297B" w:rsidRDefault="003A297B" w:rsidP="00924795">
      <w:pPr>
        <w:jc w:val="both"/>
        <w:rPr>
          <w:rFonts w:asciiTheme="minorHAnsi" w:hAnsiTheme="minorHAnsi"/>
          <w:sz w:val="22"/>
          <w:szCs w:val="22"/>
        </w:rPr>
      </w:pPr>
    </w:p>
    <w:p w14:paraId="0FB13361" w14:textId="77777777" w:rsidR="003A297B" w:rsidRPr="00F344D3" w:rsidRDefault="003A297B" w:rsidP="00924795">
      <w:pPr>
        <w:jc w:val="both"/>
        <w:rPr>
          <w:rFonts w:asciiTheme="minorHAnsi" w:hAnsiTheme="minorHAnsi"/>
          <w:sz w:val="22"/>
          <w:szCs w:val="22"/>
        </w:rPr>
      </w:pPr>
    </w:p>
    <w:p w14:paraId="1C0CD3D3"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33271959" w14:textId="77777777"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státní organizace, IČ 709 94 234</w:t>
      </w:r>
    </w:p>
    <w:p w14:paraId="7E04410C" w14:textId="77777777" w:rsidR="00924795" w:rsidRDefault="00924795" w:rsidP="00924795">
      <w:pPr>
        <w:pStyle w:val="Zkladntext"/>
        <w:spacing w:line="276" w:lineRule="auto"/>
        <w:rPr>
          <w:rFonts w:asciiTheme="minorHAnsi" w:hAnsiTheme="minorHAnsi"/>
          <w:sz w:val="22"/>
          <w:szCs w:val="22"/>
        </w:rPr>
      </w:pPr>
    </w:p>
    <w:p w14:paraId="044061C6" w14:textId="77777777" w:rsidR="00950A80" w:rsidRPr="00950A80" w:rsidRDefault="00950A80" w:rsidP="00950A80">
      <w:pPr>
        <w:spacing w:after="160" w:line="259" w:lineRule="auto"/>
        <w:jc w:val="center"/>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I. rekapitulace stavu</w:t>
      </w:r>
    </w:p>
    <w:p w14:paraId="34F39883" w14:textId="1C44D0E6" w:rsidR="00950A80" w:rsidRPr="00950A80" w:rsidRDefault="00950A80" w:rsidP="00950A80">
      <w:pPr>
        <w:spacing w:after="160" w:line="259" w:lineRule="auto"/>
        <w:jc w:val="both"/>
        <w:rPr>
          <w:rFonts w:asciiTheme="minorHAnsi" w:eastAsiaTheme="minorHAnsi" w:hAnsiTheme="minorHAnsi" w:cs="Arial"/>
          <w:sz w:val="22"/>
          <w:szCs w:val="22"/>
          <w:lang w:eastAsia="en-US"/>
        </w:rPr>
      </w:pPr>
      <w:r w:rsidRPr="00950A80">
        <w:rPr>
          <w:rFonts w:asciiTheme="minorHAnsi" w:eastAsiaTheme="minorHAnsi" w:hAnsiTheme="minorHAnsi" w:cstheme="minorBidi"/>
          <w:sz w:val="22"/>
          <w:szCs w:val="22"/>
          <w:lang w:eastAsia="en-US"/>
        </w:rPr>
        <w:lastRenderedPageBreak/>
        <w:t>Dne 19. 11. 2018 byla podána MÚ Hořice žádost o zrušení železničního přejezdu. Dále je ve spise založen e-mail doručený MÚ Hořice dne 02. 11. 2018, jehož přílohou byl souhlas drážního úřadu se zrušením železničního přejezdu. Dne 25. 10. 2018 byl do spisu založen záznam o prohlídce místa samého, které učinila oprávněná úřední osoba. Dne 30. 11. 2018 vyhotovil MÚ přípis, kterým oznámil zahájení správního řízení (uvedeno, že účastníci mohou uplatnit své námitky a návrhy vznést do 15 dnů ode dne doručení oznámení veřejnou vyhláškou</w:t>
      </w:r>
      <w:r w:rsidR="00D73D72">
        <w:rPr>
          <w:rFonts w:asciiTheme="minorHAnsi" w:eastAsiaTheme="minorHAnsi" w:hAnsiTheme="minorHAnsi" w:cstheme="minorBidi"/>
          <w:sz w:val="22"/>
          <w:szCs w:val="22"/>
          <w:lang w:eastAsia="en-US"/>
        </w:rPr>
        <w:t>)</w:t>
      </w:r>
      <w:r w:rsidRPr="00950A80">
        <w:rPr>
          <w:rFonts w:asciiTheme="minorHAnsi" w:eastAsiaTheme="minorHAnsi" w:hAnsiTheme="minorHAnsi" w:cstheme="minorBidi"/>
          <w:sz w:val="22"/>
          <w:szCs w:val="22"/>
          <w:lang w:eastAsia="en-US"/>
        </w:rPr>
        <w:t xml:space="preserve">. Dne 12. 12. 2018 obec Holovousy uvedla, že se zrušením nesouhlasí a požaduje ústní jednání a „místní šetření“. MÚ Hořice v reakci zaslal vlastníkům pozemků, které mohou být dopravně napojeny předmětným železničním přejezdem, oznámení o konání ústního jednání v tomto správním řízení. Následuje protokol z jednání. Dne 21. 03. 2019 obdržel MÚ Hořice e-mail od Správy železniční dopravní cesty, státní organizace, jehož přílohou jsou záznamy z kontrol předmětného železničního přejezdu. Dne 28. 05. 2019 vyhotovil MÚ Hořice úřední záznam o nahlížení do spisu a následně vydal odvoláním napadené rozhodnutí. Dne 10. 06. 2019 bylo MÚ Hořice doručeno odvolání proti rozhodnutí. Dne 01. 07. 2019 byl spis spolu se stanoviskem k odvolání doručen KÚ KHK. KÚ KHK rozhodnutím ze dne 11. 07. 2019, čj. </w:t>
      </w:r>
      <w:r w:rsidRPr="00950A80">
        <w:rPr>
          <w:rFonts w:asciiTheme="minorHAnsi" w:eastAsiaTheme="minorHAnsi" w:hAnsiTheme="minorHAnsi" w:cs="Arial"/>
          <w:sz w:val="22"/>
          <w:szCs w:val="22"/>
          <w:lang w:eastAsia="en-US"/>
        </w:rPr>
        <w:t xml:space="preserve">KUKHK–21816/DS/2019-2 -Ma, zamítl odvolání jako nepřípustné a současně uložil MÚ Hořice, aby odvoláním napadené rozhodnutí doručil (pouze) všem účastníkům řízení a dále postupoval dle procesního vývoje situace. MÚ Hořice provedl doručení dalším osobám; dne 25. 09. 2019 obdržel odvolání pana Jiřího Macha a informoval o podaném odvolání účastníky řízení (nedoručoval veřejnou vyhláškou). K odvolání se vyjádřili ve společném podání paní </w:t>
      </w:r>
      <w:r w:rsidR="00837329">
        <w:rPr>
          <w:rFonts w:asciiTheme="minorHAnsi" w:hAnsiTheme="minorHAnsi"/>
          <w:b/>
          <w:sz w:val="22"/>
          <w:szCs w:val="22"/>
        </w:rPr>
        <w:t>------------------------------------</w:t>
      </w:r>
      <w:r w:rsidRPr="00950A80">
        <w:rPr>
          <w:rFonts w:asciiTheme="minorHAnsi" w:eastAsiaTheme="minorHAnsi" w:hAnsiTheme="minorHAnsi" w:cs="Arial"/>
          <w:sz w:val="22"/>
          <w:szCs w:val="22"/>
          <w:lang w:eastAsia="en-US"/>
        </w:rPr>
        <w:t xml:space="preserve">, paní </w:t>
      </w:r>
      <w:r w:rsidR="00837329">
        <w:rPr>
          <w:rFonts w:asciiTheme="minorHAnsi" w:hAnsiTheme="minorHAnsi"/>
          <w:b/>
          <w:sz w:val="22"/>
          <w:szCs w:val="22"/>
        </w:rPr>
        <w:t>------------------------------------</w:t>
      </w:r>
      <w:r w:rsidRPr="00950A80">
        <w:rPr>
          <w:rFonts w:asciiTheme="minorHAnsi" w:eastAsiaTheme="minorHAnsi" w:hAnsiTheme="minorHAnsi" w:cs="Arial"/>
          <w:sz w:val="22"/>
          <w:szCs w:val="22"/>
          <w:lang w:eastAsia="en-US"/>
        </w:rPr>
        <w:t xml:space="preserve"> a pan </w:t>
      </w:r>
      <w:r w:rsidR="00837329">
        <w:rPr>
          <w:rFonts w:asciiTheme="minorHAnsi" w:hAnsiTheme="minorHAnsi"/>
          <w:b/>
          <w:sz w:val="22"/>
          <w:szCs w:val="22"/>
        </w:rPr>
        <w:t>------------------------------------</w:t>
      </w:r>
      <w:r w:rsidRPr="00950A80">
        <w:rPr>
          <w:rFonts w:asciiTheme="minorHAnsi" w:eastAsiaTheme="minorHAnsi" w:hAnsiTheme="minorHAnsi" w:cs="Arial"/>
          <w:sz w:val="22"/>
          <w:szCs w:val="22"/>
          <w:lang w:eastAsia="en-US"/>
        </w:rPr>
        <w:t xml:space="preserve">; dále se vyjádřila obec Holovousy a žadatel. Dne 09. 01. 2020 byl spis spolu se stanoviskem MÚ Hořice k odvolání doručen KÚ KHK k provedení odvolacího řízení. </w:t>
      </w:r>
    </w:p>
    <w:p w14:paraId="002E9A2F" w14:textId="77777777" w:rsidR="00950A80" w:rsidRPr="00950A80" w:rsidRDefault="00950A80" w:rsidP="00950A80">
      <w:pPr>
        <w:spacing w:after="160" w:line="259" w:lineRule="auto"/>
        <w:jc w:val="center"/>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II. posouzení odvolání</w:t>
      </w:r>
    </w:p>
    <w:p w14:paraId="16DDA038"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KÚ KHK nejprve zkoumal, zda jde o odvolání podané k tomu oprávněnou osobou. Odvolatel je osobou, která již jednou uplatnila odvolání proti uvedenému rozhodnutí a KÚ KHK takové odvolání posoudil jako nepřípustné, což bylo odůvodněno tím, že nebylo zjištěno, že by byl odvolatel vlastníkem nemovitosti v předmětné lokalitě. MÚ Hořice ve stanovisku k podanému odvolání neuvedl, proč (resp. zda) považuje odvolatele za účastníka řízení. Odvolatel, ač mu byl shora cit. závěr KÚ KHK znám, rovněž neuvedl žádné okolnosti, které by se týkaly jeho účastenství v předmětném správním řízení, když toliko zopakoval odvolací důvody, které již jednou uvedl. Odvolatel při ústním jednání k věci uvedl, že (citace z protokolu): </w:t>
      </w:r>
      <w:r w:rsidRPr="00950A80">
        <w:rPr>
          <w:rFonts w:asciiTheme="minorHAnsi" w:eastAsiaTheme="minorHAnsi" w:hAnsiTheme="minorHAnsi" w:cstheme="minorBidi"/>
          <w:i/>
          <w:sz w:val="22"/>
          <w:szCs w:val="22"/>
          <w:lang w:eastAsia="en-US"/>
        </w:rPr>
        <w:t>„přejezd je důležitý pro lesy – (vyvážečka), majitelé pozemků, když se zruší přejezd, znehodnotí se pozemky, v létě se používá za dobrého počasí, objíždějí závoru, jezdí se přes brod. Je to jediná přístupová cesta. Nikdo nevolá, přejet hned.“</w:t>
      </w:r>
    </w:p>
    <w:p w14:paraId="4F583F17"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KÚ KHK nicméně z katastru nemovitostí zjistil, že odvolatel je vlastníkem p.p.č. 754/2 v k.ú. a obci Ostroměř, což je pozemek na levé straně vodního toku Javorka, přičemž nelze a priori vyloučit, že předmětný železniční přejezd (vzdálený cca 200 metrů) může sloužit i dopravní obsluze předmětného pozemku. Lze tak dovodit účastenství jmenovaného z důvodu uvedeného v </w:t>
      </w:r>
      <w:proofErr w:type="spellStart"/>
      <w:r w:rsidRPr="00950A80">
        <w:rPr>
          <w:rFonts w:asciiTheme="minorHAnsi" w:eastAsiaTheme="minorHAnsi" w:hAnsiTheme="minorHAnsi" w:cstheme="minorBidi"/>
          <w:sz w:val="22"/>
          <w:szCs w:val="22"/>
          <w:lang w:eastAsia="en-US"/>
        </w:rPr>
        <w:t>ust</w:t>
      </w:r>
      <w:proofErr w:type="spellEnd"/>
      <w:r w:rsidRPr="00950A80">
        <w:rPr>
          <w:rFonts w:asciiTheme="minorHAnsi" w:eastAsiaTheme="minorHAnsi" w:hAnsiTheme="minorHAnsi" w:cstheme="minorBidi"/>
          <w:sz w:val="22"/>
          <w:szCs w:val="22"/>
          <w:lang w:eastAsia="en-US"/>
        </w:rPr>
        <w:t>. § 27 odst. 2) správního řádu. Odvoláním napadené rozhodnutí bylo odvolateli doručeno dne 23. 09. 2019 a s ohledem na již uvedené jej KÚ KHK považuje za odvolání včasné.  Odvolatel vznesl následující odvolací námitky.</w:t>
      </w:r>
    </w:p>
    <w:p w14:paraId="077926CA"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p>
    <w:p w14:paraId="4DD1B95F"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Dle odvolatele dojde v případě zrušení předmětného železničního přejezdu ke: 1/ znepřístupnění nemovitostí v k.ú. Ostroměř a Holohlavy 2/šíření kůrovce a dřevokazných hub, 3/ znehodnocení dotčených pozemků, 4/ „nemožnosti odstranění 15 let nepřístupnosti“, 5/ nepřístupnosti pro složky IZS. Dále odvolatel uvedl, že železniční přejezd nelze 15 let užívat a pro obhospodařování zemědělských pozemků je nezbytné zajistit dopravní napojení. </w:t>
      </w:r>
    </w:p>
    <w:p w14:paraId="01C14EE0"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p>
    <w:p w14:paraId="6FFBA749" w14:textId="5C7C9527" w:rsidR="00950A80" w:rsidRPr="00950A80" w:rsidRDefault="00950A80" w:rsidP="00950A80">
      <w:pPr>
        <w:spacing w:line="259" w:lineRule="auto"/>
        <w:jc w:val="both"/>
        <w:rPr>
          <w:rFonts w:asciiTheme="minorHAnsi" w:eastAsiaTheme="minorHAnsi" w:hAnsiTheme="minorHAnsi" w:cs="Arial"/>
          <w:sz w:val="22"/>
          <w:szCs w:val="22"/>
          <w:lang w:eastAsia="en-US"/>
        </w:rPr>
      </w:pPr>
      <w:r w:rsidRPr="00950A80">
        <w:rPr>
          <w:rFonts w:asciiTheme="minorHAnsi" w:eastAsiaTheme="minorHAnsi" w:hAnsiTheme="minorHAnsi" w:cstheme="minorBidi"/>
          <w:sz w:val="22"/>
          <w:szCs w:val="22"/>
          <w:lang w:eastAsia="en-US"/>
        </w:rPr>
        <w:t xml:space="preserve">Ve stanovisku k odvolání </w:t>
      </w:r>
      <w:r w:rsidRPr="00950A80">
        <w:rPr>
          <w:rFonts w:asciiTheme="minorHAnsi" w:eastAsiaTheme="minorHAnsi" w:hAnsiTheme="minorHAnsi" w:cs="Arial"/>
          <w:sz w:val="22"/>
          <w:szCs w:val="22"/>
          <w:lang w:eastAsia="en-US"/>
        </w:rPr>
        <w:t xml:space="preserve">paní </w:t>
      </w:r>
      <w:r w:rsidR="00837329">
        <w:rPr>
          <w:rFonts w:asciiTheme="minorHAnsi" w:hAnsiTheme="minorHAnsi"/>
          <w:b/>
          <w:sz w:val="22"/>
          <w:szCs w:val="22"/>
        </w:rPr>
        <w:t>------------------------------------</w:t>
      </w:r>
      <w:r w:rsidRPr="00950A80">
        <w:rPr>
          <w:rFonts w:asciiTheme="minorHAnsi" w:eastAsiaTheme="minorHAnsi" w:hAnsiTheme="minorHAnsi" w:cs="Arial"/>
          <w:sz w:val="22"/>
          <w:szCs w:val="22"/>
          <w:lang w:eastAsia="en-US"/>
        </w:rPr>
        <w:t xml:space="preserve">, paní </w:t>
      </w:r>
      <w:r w:rsidR="00837329">
        <w:rPr>
          <w:rFonts w:asciiTheme="minorHAnsi" w:hAnsiTheme="minorHAnsi"/>
          <w:b/>
          <w:sz w:val="22"/>
          <w:szCs w:val="22"/>
        </w:rPr>
        <w:t>------------------------------------</w:t>
      </w:r>
      <w:r w:rsidRPr="00950A80">
        <w:rPr>
          <w:rFonts w:asciiTheme="minorHAnsi" w:eastAsiaTheme="minorHAnsi" w:hAnsiTheme="minorHAnsi" w:cs="Arial"/>
          <w:sz w:val="22"/>
          <w:szCs w:val="22"/>
          <w:lang w:eastAsia="en-US"/>
        </w:rPr>
        <w:t xml:space="preserve">a pan </w:t>
      </w:r>
      <w:r w:rsidR="00837329">
        <w:rPr>
          <w:rFonts w:asciiTheme="minorHAnsi" w:hAnsiTheme="minorHAnsi"/>
          <w:b/>
          <w:sz w:val="22"/>
          <w:szCs w:val="22"/>
        </w:rPr>
        <w:t>------------------------------------</w:t>
      </w:r>
      <w:r w:rsidR="00837329">
        <w:rPr>
          <w:rFonts w:asciiTheme="minorHAnsi" w:hAnsiTheme="minorHAnsi"/>
          <w:b/>
          <w:sz w:val="22"/>
          <w:szCs w:val="22"/>
        </w:rPr>
        <w:t xml:space="preserve"> </w:t>
      </w:r>
      <w:r w:rsidRPr="00950A80">
        <w:rPr>
          <w:rFonts w:asciiTheme="minorHAnsi" w:eastAsiaTheme="minorHAnsi" w:hAnsiTheme="minorHAnsi" w:cs="Arial"/>
          <w:sz w:val="22"/>
          <w:szCs w:val="22"/>
          <w:lang w:eastAsia="en-US"/>
        </w:rPr>
        <w:t xml:space="preserve">uvedli, že v současné době nelze železniční přejezd užívat (tj. reálně nelze </w:t>
      </w:r>
      <w:r w:rsidRPr="00950A80">
        <w:rPr>
          <w:rFonts w:asciiTheme="minorHAnsi" w:eastAsiaTheme="minorHAnsi" w:hAnsiTheme="minorHAnsi" w:cs="Arial"/>
          <w:sz w:val="22"/>
          <w:szCs w:val="22"/>
          <w:lang w:eastAsia="en-US"/>
        </w:rPr>
        <w:lastRenderedPageBreak/>
        <w:t xml:space="preserve">předem žádat o umožnění zvednutí závor) a tvrzení, že předmětný železniční přejezd není dlouhodobě užíván, je zavádějící, když MÚ Hořice pominul důvody, pro které tento stav existuje. </w:t>
      </w:r>
    </w:p>
    <w:p w14:paraId="244D9967" w14:textId="77777777" w:rsidR="00950A80" w:rsidRPr="00950A80" w:rsidRDefault="00950A80" w:rsidP="00950A80">
      <w:pPr>
        <w:spacing w:line="259" w:lineRule="auto"/>
        <w:jc w:val="both"/>
        <w:rPr>
          <w:rFonts w:asciiTheme="minorHAnsi" w:eastAsiaTheme="minorHAnsi" w:hAnsiTheme="minorHAnsi" w:cs="Arial"/>
          <w:sz w:val="22"/>
          <w:szCs w:val="22"/>
          <w:lang w:eastAsia="en-US"/>
        </w:rPr>
      </w:pPr>
    </w:p>
    <w:p w14:paraId="5002D4F7" w14:textId="77777777" w:rsidR="00950A80" w:rsidRPr="00950A80" w:rsidRDefault="00950A80" w:rsidP="00950A80">
      <w:pPr>
        <w:spacing w:line="259" w:lineRule="auto"/>
        <w:jc w:val="both"/>
        <w:rPr>
          <w:rFonts w:asciiTheme="minorHAnsi" w:eastAsiaTheme="minorHAnsi" w:hAnsiTheme="minorHAnsi" w:cs="Arial"/>
          <w:sz w:val="22"/>
          <w:szCs w:val="22"/>
          <w:lang w:eastAsia="en-US"/>
        </w:rPr>
      </w:pPr>
      <w:r w:rsidRPr="00950A80">
        <w:rPr>
          <w:rFonts w:asciiTheme="minorHAnsi" w:eastAsiaTheme="minorHAnsi" w:hAnsiTheme="minorHAnsi" w:cs="Arial"/>
          <w:sz w:val="22"/>
          <w:szCs w:val="22"/>
          <w:lang w:eastAsia="en-US"/>
        </w:rPr>
        <w:t xml:space="preserve">Obec Holovousy uvedla, že předmětný železniční přejezd nevyužívá, avšak s odvolacími námitkami se ztotožňuje. </w:t>
      </w:r>
    </w:p>
    <w:p w14:paraId="17B0EBB0" w14:textId="77777777" w:rsidR="00950A80" w:rsidRPr="00950A80" w:rsidRDefault="00950A80" w:rsidP="00950A80">
      <w:pPr>
        <w:spacing w:line="259" w:lineRule="auto"/>
        <w:jc w:val="both"/>
        <w:rPr>
          <w:rFonts w:asciiTheme="minorHAnsi" w:eastAsiaTheme="minorHAnsi" w:hAnsiTheme="minorHAnsi" w:cs="Arial"/>
          <w:sz w:val="22"/>
          <w:szCs w:val="22"/>
          <w:lang w:eastAsia="en-US"/>
        </w:rPr>
      </w:pPr>
    </w:p>
    <w:p w14:paraId="794E7E40" w14:textId="77777777" w:rsidR="00950A80" w:rsidRPr="00950A80" w:rsidRDefault="00950A80" w:rsidP="00950A80">
      <w:pPr>
        <w:spacing w:line="259" w:lineRule="auto"/>
        <w:jc w:val="both"/>
        <w:rPr>
          <w:rFonts w:asciiTheme="minorHAnsi" w:eastAsiaTheme="minorHAnsi" w:hAnsiTheme="minorHAnsi" w:cs="Arial"/>
          <w:sz w:val="22"/>
          <w:szCs w:val="22"/>
          <w:lang w:eastAsia="en-US"/>
        </w:rPr>
      </w:pPr>
      <w:r w:rsidRPr="00950A80">
        <w:rPr>
          <w:rFonts w:asciiTheme="minorHAnsi" w:eastAsiaTheme="minorHAnsi" w:hAnsiTheme="minorHAnsi" w:cs="Arial"/>
          <w:sz w:val="22"/>
          <w:szCs w:val="22"/>
          <w:lang w:eastAsia="en-US"/>
        </w:rPr>
        <w:t xml:space="preserve">Správa železnic uvedla, že existují jiné způsoby, jak dopravně obsloužit nemovitosti v lokalitě. </w:t>
      </w:r>
    </w:p>
    <w:p w14:paraId="534E49BF" w14:textId="77777777" w:rsidR="00950A80" w:rsidRPr="00950A80" w:rsidRDefault="00950A80" w:rsidP="00950A80">
      <w:pPr>
        <w:spacing w:line="259" w:lineRule="auto"/>
        <w:jc w:val="both"/>
        <w:rPr>
          <w:rFonts w:asciiTheme="minorHAnsi" w:eastAsiaTheme="minorHAnsi" w:hAnsiTheme="minorHAnsi" w:cs="Arial"/>
          <w:sz w:val="22"/>
          <w:szCs w:val="22"/>
          <w:lang w:eastAsia="en-US"/>
        </w:rPr>
      </w:pPr>
    </w:p>
    <w:p w14:paraId="7D6FFED2" w14:textId="77777777" w:rsidR="00950A80" w:rsidRPr="00950A80" w:rsidRDefault="00950A80" w:rsidP="00950A80">
      <w:pPr>
        <w:spacing w:line="259" w:lineRule="auto"/>
        <w:jc w:val="both"/>
        <w:rPr>
          <w:rFonts w:asciiTheme="minorHAnsi" w:eastAsiaTheme="minorHAnsi" w:hAnsiTheme="minorHAnsi" w:cs="Arial"/>
          <w:sz w:val="22"/>
          <w:szCs w:val="22"/>
          <w:lang w:eastAsia="en-US"/>
        </w:rPr>
      </w:pPr>
      <w:r w:rsidRPr="00950A80">
        <w:rPr>
          <w:rFonts w:asciiTheme="minorHAnsi" w:eastAsiaTheme="minorHAnsi" w:hAnsiTheme="minorHAnsi" w:cs="Arial"/>
          <w:sz w:val="22"/>
          <w:szCs w:val="22"/>
          <w:lang w:eastAsia="en-US"/>
        </w:rPr>
        <w:t xml:space="preserve">KÚ KHK konstatuje, že odvoláním napadené rozhodnutí je vystavěno na stručné úvaze spočívající v tom, že žadatel doložil, že předmětný železniční přejezd není cca 15 let užíván (nebylo žádáno o zvednutí závor) – byť to MÚ Hořice neuvádí explicitně, dovodil z uvedeného, že předmětný železniční přejezd není reálně užíván k dopravní obsluze sousedních nemovitostí a z tohoto důvodu neshledal žádné důvody, proč by nebylo možné žádosti nevyhovět. Na tom, že uvedenou dobu není železniční přejezd užíván, se shodli i někteří účastníci řízení, kteří se k věci vyjádřili – včetně odvolatele. KÚ KHK nerozporuje, tvrzení některých účastníků řízení spočívající v tom, že stávající systém užívání železničního přejezdu je nekomfortní a nepraktický. Podstatné pro předmětné správní řízení je však to, že dle jejich tvrzení užíván nebyl, ač užíván být mohl a po celou dobu mohli vlastníci sousedních nemovitostí požadovat a domáhat se změny v užívání předmětného železničního přejezdu s argumentem, že jinak není možné zajistit hospodaření s nemovitostmi v jejich vlastnictví. A jestliže předmětný železniční přejezd nebyl 15 let užíván (což lze považovat za velmi dlouhou dobu), pak může být stěží úspěšný argument spočívající v tvrzení, že zrušením železničního přejezdu by došlo ke znehodnocení nemovitostí v jeho okolí a ke zhoršení jejich dopravního napojení. Tato specifická a zásadní skutková okolnost, na které se shodli někteří účastníci řízení i MÚ Hořice, by mohla vést  k tomu, že nebylo za potřebí provádět, resp. zohlednit některé další okolnosti (a úkony) které MÚ Hořice nezjišťoval (a pokud ano, tak nikoli procesně správným způsobem) – tj. otázka, jak budou nemovitosti dopravně napojeny v případě zrušení železničního přejezdu, jaký je stav železničního přejezdu apod. Tyto okolnosti je samozřejmě potřeba zjišťovat procesně správným způsobem – důkazem o ohledáním místa, ze kterého jsou pak v odůvodnění dovozeny patřičné závěry; pouhá neformální přítomnost pracovníka správního orgánu, který se seznamuje se stavem na místě samém, nemůže sloužit ke zjišťování skutkového stavu. </w:t>
      </w:r>
    </w:p>
    <w:p w14:paraId="4C8FC7B5"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Arial"/>
          <w:sz w:val="22"/>
          <w:szCs w:val="22"/>
          <w:lang w:eastAsia="en-US"/>
        </w:rPr>
        <w:t xml:space="preserve">KÚ KHK však zjistil, že MÚ Hořice chybně a nepřezkoumatelně vymezil okruh účastníků řízení a navíc osobám, které za účastníky řízení považoval, chybně doručoval odvoláním napadené rozhodnutí. KÚ KHK dále uvádí seznam osob, které by (samozřejmě krom žadatele) měly být považovány za účastníky tohoto správního řízení z důvodu (spolu)vlastnictví nemovitosti, jenž může být dopravně napojena předmětným železničním přejezdem (modře jsou označeny osoby, kterým MÚ Hořice nedoručoval a nepovažoval je tedy za účastníky řízení):   </w:t>
      </w:r>
    </w:p>
    <w:p w14:paraId="42ED49B0" w14:textId="77777777"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1/ </w:t>
      </w:r>
      <w:r w:rsidRPr="00950A80">
        <w:rPr>
          <w:rFonts w:asciiTheme="minorHAnsi" w:eastAsiaTheme="minorHAnsi" w:hAnsiTheme="minorHAnsi" w:cstheme="minorBidi"/>
          <w:color w:val="0070C0"/>
          <w:sz w:val="22"/>
          <w:szCs w:val="22"/>
          <w:lang w:eastAsia="en-US"/>
        </w:rPr>
        <w:t xml:space="preserve">ČR – </w:t>
      </w:r>
      <w:r w:rsidRPr="00950A80">
        <w:rPr>
          <w:rFonts w:ascii="Segoe UI" w:eastAsiaTheme="minorHAnsi" w:hAnsi="Segoe UI" w:cs="Segoe UI"/>
          <w:color w:val="0070C0"/>
          <w:sz w:val="20"/>
          <w:szCs w:val="20"/>
          <w:lang w:eastAsia="en-US"/>
        </w:rPr>
        <w:t xml:space="preserve">Povodí Labe, státní podnik, Víta Nejedlého 951/8, Slezské Předměstí, 50003 Hradec </w:t>
      </w:r>
      <w:proofErr w:type="gramStart"/>
      <w:r w:rsidRPr="00950A80">
        <w:rPr>
          <w:rFonts w:ascii="Segoe UI" w:eastAsiaTheme="minorHAnsi" w:hAnsi="Segoe UI" w:cs="Segoe UI"/>
          <w:color w:val="0070C0"/>
          <w:sz w:val="20"/>
          <w:szCs w:val="20"/>
          <w:lang w:eastAsia="en-US"/>
        </w:rPr>
        <w:t xml:space="preserve">Králové  </w:t>
      </w:r>
      <w:r w:rsidRPr="00950A80">
        <w:rPr>
          <w:rFonts w:ascii="Segoe UI" w:eastAsiaTheme="minorHAnsi" w:hAnsi="Segoe UI" w:cs="Segoe UI"/>
          <w:color w:val="000000"/>
          <w:sz w:val="20"/>
          <w:szCs w:val="20"/>
          <w:lang w:eastAsia="en-US"/>
        </w:rPr>
        <w:t>(</w:t>
      </w:r>
      <w:proofErr w:type="gramEnd"/>
      <w:r w:rsidRPr="00950A80">
        <w:rPr>
          <w:rFonts w:ascii="Segoe UI" w:eastAsiaTheme="minorHAnsi" w:hAnsi="Segoe UI" w:cs="Segoe UI"/>
          <w:color w:val="000000"/>
          <w:sz w:val="20"/>
          <w:szCs w:val="20"/>
          <w:lang w:eastAsia="en-US"/>
        </w:rPr>
        <w:t>p.p.č. 835/3 a 835/4, k.ú. a obec Ostroměř)</w:t>
      </w:r>
    </w:p>
    <w:p w14:paraId="2430C419" w14:textId="77777777"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2/ </w:t>
      </w:r>
      <w:proofErr w:type="gramStart"/>
      <w:r w:rsidRPr="00950A80">
        <w:rPr>
          <w:rFonts w:asciiTheme="minorHAnsi" w:eastAsiaTheme="minorHAnsi" w:hAnsiTheme="minorHAnsi" w:cstheme="minorBidi"/>
          <w:color w:val="0070C0"/>
          <w:sz w:val="22"/>
          <w:szCs w:val="22"/>
          <w:lang w:eastAsia="en-US"/>
        </w:rPr>
        <w:t xml:space="preserve">ČR - </w:t>
      </w:r>
      <w:r w:rsidRPr="00950A80">
        <w:rPr>
          <w:rFonts w:ascii="Segoe UI" w:eastAsiaTheme="minorHAnsi" w:hAnsi="Segoe UI" w:cs="Segoe UI"/>
          <w:color w:val="0070C0"/>
          <w:sz w:val="20"/>
          <w:szCs w:val="20"/>
          <w:lang w:eastAsia="en-US"/>
        </w:rPr>
        <w:t>Úřad</w:t>
      </w:r>
      <w:proofErr w:type="gramEnd"/>
      <w:r w:rsidRPr="00950A80">
        <w:rPr>
          <w:rFonts w:ascii="Segoe UI" w:eastAsiaTheme="minorHAnsi" w:hAnsi="Segoe UI" w:cs="Segoe UI"/>
          <w:color w:val="0070C0"/>
          <w:sz w:val="20"/>
          <w:szCs w:val="20"/>
          <w:lang w:eastAsia="en-US"/>
        </w:rPr>
        <w:t xml:space="preserve"> pro zastupování státu ve věcech majetkových, Rašínovo nábřeží 390/42, Nové Město, 12800 Praha 2 </w:t>
      </w:r>
      <w:r w:rsidRPr="00950A80">
        <w:rPr>
          <w:rFonts w:ascii="Segoe UI" w:eastAsiaTheme="minorHAnsi" w:hAnsi="Segoe UI" w:cs="Segoe UI"/>
          <w:color w:val="000000"/>
          <w:sz w:val="20"/>
          <w:szCs w:val="20"/>
          <w:lang w:eastAsia="en-US"/>
        </w:rPr>
        <w:t>(p.p.č. 1312/2 a p.p.č. 1313/1, k.ú. Holovousy v Podkrkonoší)</w:t>
      </w:r>
    </w:p>
    <w:p w14:paraId="7DDFC0C7" w14:textId="5140D685"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3/ </w:t>
      </w:r>
      <w:r w:rsidR="0083732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p>
    <w:p w14:paraId="0BF3A05C" w14:textId="77777777"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t xml:space="preserve">4/ Zemědělské družstvo Podchlumí Dobrá Voda, č. p. 210, 50773 Dobrá Voda u Hořic (p.p.č. 573/9, p.p.č. 573/1, p.p.č. 573/7, p.p.č. 573/8 k.ú. Holovousy v Podkrkonoší; p.p.č 752/2, k.ú. Ostroměř)   </w:t>
      </w:r>
    </w:p>
    <w:p w14:paraId="1C5BABE3" w14:textId="7690B96D"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5/ </w:t>
      </w:r>
      <w:r w:rsidR="00837329">
        <w:rPr>
          <w:rFonts w:asciiTheme="minorHAnsi" w:hAnsiTheme="minorHAnsi"/>
          <w:b/>
          <w:sz w:val="22"/>
          <w:szCs w:val="22"/>
        </w:rPr>
        <w:t>------------------------------------</w:t>
      </w:r>
    </w:p>
    <w:p w14:paraId="03DDDB5E" w14:textId="61A6B3C8"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6/ </w:t>
      </w:r>
      <w:r w:rsidR="0083732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p>
    <w:p w14:paraId="71354597" w14:textId="59F09D11"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7/ </w:t>
      </w:r>
      <w:r w:rsidR="00837329">
        <w:rPr>
          <w:rFonts w:asciiTheme="minorHAnsi" w:hAnsiTheme="minorHAnsi"/>
          <w:b/>
          <w:sz w:val="22"/>
          <w:szCs w:val="22"/>
        </w:rPr>
        <w:t>------------------------------------</w:t>
      </w:r>
    </w:p>
    <w:p w14:paraId="23BBA4A6" w14:textId="3E6BE203"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t xml:space="preserve">8/ </w:t>
      </w:r>
      <w:r w:rsidR="0083732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p>
    <w:p w14:paraId="70A83245" w14:textId="7D6267E6"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t xml:space="preserve">9/ </w:t>
      </w:r>
      <w:r w:rsidR="00837329">
        <w:rPr>
          <w:rFonts w:asciiTheme="minorHAnsi" w:hAnsiTheme="minorHAnsi"/>
          <w:b/>
          <w:sz w:val="22"/>
          <w:szCs w:val="22"/>
        </w:rPr>
        <w:t>------------------------------------</w:t>
      </w:r>
    </w:p>
    <w:p w14:paraId="7F9D6338" w14:textId="12B7940F"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lastRenderedPageBreak/>
        <w:t xml:space="preserve">10/ </w:t>
      </w:r>
      <w:r w:rsidR="00837329">
        <w:rPr>
          <w:rFonts w:asciiTheme="minorHAnsi" w:hAnsiTheme="minorHAnsi"/>
          <w:b/>
          <w:sz w:val="22"/>
          <w:szCs w:val="22"/>
        </w:rPr>
        <w:t>------------------------------------</w:t>
      </w:r>
    </w:p>
    <w:p w14:paraId="53F459BF" w14:textId="44305DEE"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Segoe UI" w:eastAsiaTheme="minorHAnsi" w:hAnsi="Segoe UI" w:cs="Segoe UI"/>
          <w:color w:val="000000"/>
          <w:sz w:val="20"/>
          <w:szCs w:val="20"/>
          <w:lang w:eastAsia="en-US"/>
        </w:rPr>
        <w:t xml:space="preserve">11/ </w:t>
      </w:r>
      <w:r w:rsidR="0083732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r w:rsidRPr="00950A80">
        <w:rPr>
          <w:rFonts w:asciiTheme="minorHAnsi" w:eastAsiaTheme="minorHAnsi" w:hAnsiTheme="minorHAnsi" w:cstheme="minorBidi"/>
          <w:sz w:val="22"/>
          <w:szCs w:val="22"/>
          <w:lang w:eastAsia="en-US"/>
        </w:rPr>
        <w:t xml:space="preserve">  </w:t>
      </w:r>
    </w:p>
    <w:p w14:paraId="6023DEB5" w14:textId="11934EB8"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12/ </w:t>
      </w:r>
      <w:r w:rsidR="0083732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p>
    <w:p w14:paraId="5B23BC4A" w14:textId="6E901E49"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t xml:space="preserve">13/ </w:t>
      </w:r>
      <w:r w:rsidR="00837329">
        <w:rPr>
          <w:rFonts w:asciiTheme="minorHAnsi" w:hAnsiTheme="minorHAnsi"/>
          <w:b/>
          <w:sz w:val="22"/>
          <w:szCs w:val="22"/>
        </w:rPr>
        <w:t>------------------------------------</w:t>
      </w:r>
    </w:p>
    <w:p w14:paraId="04FB4A5D" w14:textId="5F535ED6"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t xml:space="preserve">14/ </w:t>
      </w:r>
      <w:r w:rsidR="00837329">
        <w:rPr>
          <w:rFonts w:asciiTheme="minorHAnsi" w:hAnsiTheme="minorHAnsi"/>
          <w:b/>
          <w:sz w:val="22"/>
          <w:szCs w:val="22"/>
        </w:rPr>
        <w:t>------------------------------------</w:t>
      </w:r>
    </w:p>
    <w:p w14:paraId="37607F58"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Segoe UI" w:eastAsiaTheme="minorHAnsi" w:hAnsi="Segoe UI" w:cs="Segoe UI"/>
          <w:color w:val="000000"/>
          <w:sz w:val="20"/>
          <w:szCs w:val="20"/>
          <w:lang w:eastAsia="en-US"/>
        </w:rPr>
        <w:t>15</w:t>
      </w:r>
      <w:proofErr w:type="gramStart"/>
      <w:r w:rsidRPr="00950A80">
        <w:rPr>
          <w:rFonts w:ascii="Segoe UI" w:eastAsiaTheme="minorHAnsi" w:hAnsi="Segoe UI" w:cs="Segoe UI"/>
          <w:color w:val="000000"/>
          <w:sz w:val="20"/>
          <w:szCs w:val="20"/>
          <w:lang w:eastAsia="en-US"/>
        </w:rPr>
        <w:t>/  Kinský</w:t>
      </w:r>
      <w:proofErr w:type="gramEnd"/>
      <w:r w:rsidRPr="00950A80">
        <w:rPr>
          <w:rFonts w:ascii="Segoe UI" w:eastAsiaTheme="minorHAnsi" w:hAnsi="Segoe UI" w:cs="Segoe UI"/>
          <w:color w:val="000000"/>
          <w:sz w:val="20"/>
          <w:szCs w:val="20"/>
          <w:lang w:eastAsia="en-US"/>
        </w:rPr>
        <w:t xml:space="preserve"> dal </w:t>
      </w:r>
      <w:proofErr w:type="spellStart"/>
      <w:r w:rsidRPr="00950A80">
        <w:rPr>
          <w:rFonts w:ascii="Segoe UI" w:eastAsiaTheme="minorHAnsi" w:hAnsi="Segoe UI" w:cs="Segoe UI"/>
          <w:color w:val="000000"/>
          <w:sz w:val="20"/>
          <w:szCs w:val="20"/>
          <w:lang w:eastAsia="en-US"/>
        </w:rPr>
        <w:t>Borgo</w:t>
      </w:r>
      <w:proofErr w:type="spellEnd"/>
      <w:r w:rsidRPr="00950A80">
        <w:rPr>
          <w:rFonts w:ascii="Segoe UI" w:eastAsiaTheme="minorHAnsi" w:hAnsi="Segoe UI" w:cs="Segoe UI"/>
          <w:color w:val="000000"/>
          <w:sz w:val="20"/>
          <w:szCs w:val="20"/>
          <w:lang w:eastAsia="en-US"/>
        </w:rPr>
        <w:t xml:space="preserve">, a.s., Komenského 5, Chlumec nad Cidlinou IV, 50351 Chlumec nad Cidlinou (p.p.č. 578, p.p.č. 574 a p.p.č. 575 a p.p.č. 576 k.ú. Holovousy v Podkrkonoší)     </w:t>
      </w:r>
      <w:r w:rsidRPr="00950A80">
        <w:rPr>
          <w:rFonts w:asciiTheme="minorHAnsi" w:eastAsiaTheme="minorHAnsi" w:hAnsiTheme="minorHAnsi" w:cstheme="minorBidi"/>
          <w:sz w:val="22"/>
          <w:szCs w:val="22"/>
          <w:lang w:eastAsia="en-US"/>
        </w:rPr>
        <w:t xml:space="preserve">  </w:t>
      </w:r>
    </w:p>
    <w:p w14:paraId="0C02173B" w14:textId="7B921336"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16/ </w:t>
      </w:r>
      <w:r w:rsidR="0083732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r w:rsidRPr="00950A80">
        <w:rPr>
          <w:rFonts w:asciiTheme="minorHAnsi" w:eastAsiaTheme="minorHAnsi" w:hAnsiTheme="minorHAnsi" w:cstheme="minorBidi"/>
          <w:sz w:val="22"/>
          <w:szCs w:val="22"/>
          <w:lang w:eastAsia="en-US"/>
        </w:rPr>
        <w:t xml:space="preserve">  </w:t>
      </w:r>
    </w:p>
    <w:p w14:paraId="4741F81E" w14:textId="70C72CA4"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17/ </w:t>
      </w:r>
      <w:r w:rsidR="00837329">
        <w:rPr>
          <w:rFonts w:asciiTheme="minorHAnsi" w:hAnsiTheme="minorHAnsi"/>
          <w:b/>
          <w:sz w:val="22"/>
          <w:szCs w:val="22"/>
        </w:rPr>
        <w:t>------------------------------------</w:t>
      </w:r>
    </w:p>
    <w:p w14:paraId="48D86DE4"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p>
    <w:p w14:paraId="31FC993F"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Tímto postupem však od začátku správního řízení zatížil veškeré své další úkony MÚ Hořice závažnou procesní vadou, kdy „jen“ pro tento důvod je na místě zrušit odvoláním napadené rozhodnutí pro nezákonnost. Některým osobám, kterým MÚ Hořice odvoláním napadené rozhodnutí doručoval, však rozhodnutí nebylo doručováno do vlastních rukou, což je nezákonný postup (vizte </w:t>
      </w:r>
      <w:proofErr w:type="spellStart"/>
      <w:r w:rsidRPr="00950A80">
        <w:rPr>
          <w:rFonts w:asciiTheme="minorHAnsi" w:eastAsiaTheme="minorHAnsi" w:hAnsiTheme="minorHAnsi" w:cstheme="minorBidi"/>
          <w:sz w:val="22"/>
          <w:szCs w:val="22"/>
          <w:lang w:eastAsia="en-US"/>
        </w:rPr>
        <w:t>ust</w:t>
      </w:r>
      <w:proofErr w:type="spellEnd"/>
      <w:r w:rsidRPr="00950A80">
        <w:rPr>
          <w:rFonts w:asciiTheme="minorHAnsi" w:eastAsiaTheme="minorHAnsi" w:hAnsiTheme="minorHAnsi" w:cstheme="minorBidi"/>
          <w:sz w:val="22"/>
          <w:szCs w:val="22"/>
          <w:lang w:eastAsia="en-US"/>
        </w:rPr>
        <w:t>. § 19 odst. 5) správního řádu).</w:t>
      </w:r>
    </w:p>
    <w:p w14:paraId="428FE26C"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MÚ Hořice tedy po vrácení spisu provede zejména následující úkony: </w:t>
      </w:r>
    </w:p>
    <w:p w14:paraId="24EE2F97"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1/ provede procesně správně důkaz ohledáním místa – tj. předmětný železniční přejezd vč. stavu navazujících nemovitostí a toho jaká je alternativa jejich dopravního napojení (zda např. tuto může tvořit železniční přejezd </w:t>
      </w:r>
      <w:proofErr w:type="gramStart"/>
      <w:r w:rsidRPr="00950A80">
        <w:rPr>
          <w:rFonts w:asciiTheme="minorHAnsi" w:eastAsiaTheme="minorHAnsi" w:hAnsiTheme="minorHAnsi" w:cstheme="minorBidi"/>
          <w:sz w:val="22"/>
          <w:szCs w:val="22"/>
          <w:lang w:eastAsia="en-US"/>
        </w:rPr>
        <w:t>P4465 - U</w:t>
      </w:r>
      <w:proofErr w:type="gramEnd"/>
      <w:r w:rsidRPr="00950A80">
        <w:rPr>
          <w:rFonts w:asciiTheme="minorHAnsi" w:eastAsiaTheme="minorHAnsi" w:hAnsiTheme="minorHAnsi" w:cstheme="minorBidi"/>
          <w:sz w:val="22"/>
          <w:szCs w:val="22"/>
          <w:lang w:eastAsia="en-US"/>
        </w:rPr>
        <w:t xml:space="preserve"> Macha atd.). </w:t>
      </w:r>
    </w:p>
    <w:p w14:paraId="60A46BFA"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2/ provede důkaz listinami případně dalšími způsoby (výslech svědků) za účelem procesně správného ověření informace o tom, že předmětný železniční přejezd nebyl uvedenou dobu využíván. </w:t>
      </w:r>
    </w:p>
    <w:p w14:paraId="1ECF3189"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3/ na základě skutkových zjištění a uvedeného názoru KÚ KHK vydá ve věci rozhodnutí.</w:t>
      </w:r>
    </w:p>
    <w:p w14:paraId="0DAC14D6" w14:textId="77777777" w:rsidR="00950A80" w:rsidRPr="00950A80" w:rsidRDefault="00950A80" w:rsidP="00950A80">
      <w:pPr>
        <w:spacing w:line="259" w:lineRule="auto"/>
        <w:jc w:val="both"/>
        <w:rPr>
          <w:rFonts w:asciiTheme="minorHAnsi" w:eastAsiaTheme="minorHAnsi" w:hAnsiTheme="minorHAnsi" w:cstheme="minorBidi"/>
          <w:sz w:val="22"/>
          <w:szCs w:val="22"/>
          <w:lang w:eastAsia="en-US"/>
        </w:rPr>
      </w:pPr>
    </w:p>
    <w:p w14:paraId="1DA814D6" w14:textId="77777777" w:rsidR="004B4EA6" w:rsidRPr="00F25066" w:rsidRDefault="004B4EA6" w:rsidP="007A332E">
      <w:pPr>
        <w:pStyle w:val="Zkladntext"/>
        <w:spacing w:line="276" w:lineRule="auto"/>
        <w:jc w:val="both"/>
        <w:rPr>
          <w:rFonts w:asciiTheme="minorHAnsi" w:hAnsiTheme="minorHAnsi"/>
          <w:b/>
          <w:sz w:val="22"/>
          <w:szCs w:val="22"/>
        </w:rPr>
      </w:pPr>
    </w:p>
    <w:p w14:paraId="543406F8" w14:textId="77777777" w:rsidR="00EC63B2" w:rsidRDefault="00EC63B2" w:rsidP="00924795">
      <w:pPr>
        <w:pStyle w:val="Zkladntext"/>
        <w:spacing w:line="276" w:lineRule="auto"/>
        <w:rPr>
          <w:rFonts w:asciiTheme="minorHAnsi" w:hAnsiTheme="minorHAnsi"/>
          <w:sz w:val="22"/>
          <w:szCs w:val="22"/>
        </w:rPr>
      </w:pPr>
    </w:p>
    <w:p w14:paraId="6AFC3EE5" w14:textId="77777777" w:rsidR="00924795" w:rsidRPr="00DF0BAC" w:rsidRDefault="00924795" w:rsidP="005B3FB4">
      <w:pPr>
        <w:pStyle w:val="Zkladntext"/>
        <w:spacing w:before="120" w:line="276" w:lineRule="auto"/>
        <w:jc w:val="center"/>
        <w:rPr>
          <w:rFonts w:asciiTheme="minorHAnsi" w:hAnsiTheme="minorHAnsi"/>
          <w:b/>
          <w:sz w:val="22"/>
          <w:szCs w:val="22"/>
        </w:rPr>
      </w:pPr>
      <w:r w:rsidRPr="00DF0BAC">
        <w:rPr>
          <w:rFonts w:asciiTheme="minorHAnsi" w:hAnsiTheme="minorHAnsi"/>
          <w:b/>
          <w:sz w:val="22"/>
          <w:szCs w:val="22"/>
          <w:u w:val="single"/>
        </w:rPr>
        <w:t>Poučení</w:t>
      </w:r>
    </w:p>
    <w:p w14:paraId="6A05B91F"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789BC3AF" w14:textId="77777777" w:rsidR="00924795" w:rsidRDefault="00924795" w:rsidP="005B3FB4">
      <w:pPr>
        <w:pStyle w:val="Zhlav"/>
        <w:spacing w:line="276" w:lineRule="auto"/>
        <w:ind w:left="135" w:hanging="135"/>
        <w:jc w:val="both"/>
        <w:rPr>
          <w:rFonts w:asciiTheme="minorHAnsi" w:hAnsiTheme="minorHAnsi"/>
          <w:b/>
          <w:sz w:val="22"/>
          <w:szCs w:val="22"/>
        </w:rPr>
      </w:pPr>
    </w:p>
    <w:p w14:paraId="0AAF0039" w14:textId="77777777" w:rsidR="003A297B" w:rsidRDefault="003A297B" w:rsidP="005B3FB4">
      <w:pPr>
        <w:pStyle w:val="Zhlav"/>
        <w:spacing w:line="276" w:lineRule="auto"/>
        <w:ind w:left="135" w:hanging="135"/>
        <w:jc w:val="both"/>
        <w:rPr>
          <w:rFonts w:asciiTheme="minorHAnsi" w:hAnsiTheme="minorHAnsi"/>
          <w:b/>
          <w:sz w:val="22"/>
          <w:szCs w:val="22"/>
        </w:rPr>
      </w:pPr>
    </w:p>
    <w:p w14:paraId="76A830B1" w14:textId="77777777" w:rsidR="003A297B" w:rsidRDefault="003A297B" w:rsidP="005B3FB4">
      <w:pPr>
        <w:pStyle w:val="Zhlav"/>
        <w:spacing w:line="276" w:lineRule="auto"/>
        <w:ind w:left="135" w:hanging="135"/>
        <w:jc w:val="both"/>
        <w:rPr>
          <w:rFonts w:asciiTheme="minorHAnsi" w:hAnsiTheme="minorHAnsi"/>
          <w:b/>
          <w:sz w:val="22"/>
          <w:szCs w:val="22"/>
        </w:rPr>
      </w:pPr>
    </w:p>
    <w:p w14:paraId="2D60FA07" w14:textId="77777777" w:rsidR="003A297B" w:rsidRDefault="003A297B" w:rsidP="005B3FB4">
      <w:pPr>
        <w:pStyle w:val="Zhlav"/>
        <w:spacing w:line="276" w:lineRule="auto"/>
        <w:ind w:left="135" w:hanging="135"/>
        <w:jc w:val="both"/>
        <w:rPr>
          <w:rFonts w:asciiTheme="minorHAnsi" w:hAnsiTheme="minorHAnsi"/>
          <w:b/>
          <w:sz w:val="22"/>
          <w:szCs w:val="22"/>
        </w:rPr>
      </w:pPr>
    </w:p>
    <w:p w14:paraId="7C649E9A"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3B2585C3"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29896195"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16715F82" w14:textId="77777777" w:rsidR="00514B6B" w:rsidRDefault="00514B6B" w:rsidP="005B3FB4">
      <w:pPr>
        <w:spacing w:line="276" w:lineRule="auto"/>
        <w:rPr>
          <w:rFonts w:asciiTheme="minorHAnsi" w:hAnsiTheme="minorHAnsi"/>
          <w:sz w:val="22"/>
          <w:szCs w:val="22"/>
        </w:rPr>
      </w:pPr>
    </w:p>
    <w:p w14:paraId="1669B18E" w14:textId="77777777" w:rsidR="00CC4A1B" w:rsidRDefault="00CC4A1B" w:rsidP="005B3FB4">
      <w:pPr>
        <w:spacing w:line="276" w:lineRule="auto"/>
        <w:rPr>
          <w:rFonts w:asciiTheme="minorHAnsi" w:hAnsiTheme="minorHAnsi"/>
          <w:sz w:val="22"/>
          <w:szCs w:val="22"/>
        </w:rPr>
      </w:pPr>
    </w:p>
    <w:p w14:paraId="6FCD5852" w14:textId="77777777" w:rsidR="00741C0D" w:rsidRDefault="00741C0D" w:rsidP="005B3FB4">
      <w:pPr>
        <w:spacing w:line="276" w:lineRule="auto"/>
        <w:rPr>
          <w:rFonts w:asciiTheme="minorHAnsi" w:hAnsiTheme="minorHAnsi"/>
          <w:sz w:val="22"/>
          <w:szCs w:val="22"/>
        </w:rPr>
      </w:pPr>
    </w:p>
    <w:p w14:paraId="33C2236C" w14:textId="77777777" w:rsidR="00741C0D" w:rsidRDefault="00741C0D" w:rsidP="005B3FB4">
      <w:pPr>
        <w:spacing w:line="276" w:lineRule="auto"/>
        <w:rPr>
          <w:rFonts w:asciiTheme="minorHAnsi" w:hAnsiTheme="minorHAnsi"/>
          <w:sz w:val="22"/>
          <w:szCs w:val="22"/>
        </w:rPr>
      </w:pPr>
    </w:p>
    <w:p w14:paraId="39D5B3C9" w14:textId="77777777" w:rsidR="00741C0D" w:rsidRDefault="00741C0D" w:rsidP="005B3FB4">
      <w:pPr>
        <w:spacing w:line="276" w:lineRule="auto"/>
        <w:rPr>
          <w:rFonts w:asciiTheme="minorHAnsi" w:hAnsiTheme="minorHAnsi"/>
          <w:sz w:val="22"/>
          <w:szCs w:val="22"/>
        </w:rPr>
      </w:pPr>
    </w:p>
    <w:p w14:paraId="565EFFC8" w14:textId="77777777" w:rsidR="00741C0D" w:rsidRDefault="00741C0D" w:rsidP="005B3FB4">
      <w:pPr>
        <w:spacing w:line="276" w:lineRule="auto"/>
        <w:rPr>
          <w:rFonts w:asciiTheme="minorHAnsi" w:hAnsiTheme="minorHAnsi"/>
          <w:sz w:val="22"/>
          <w:szCs w:val="22"/>
        </w:rPr>
      </w:pPr>
    </w:p>
    <w:p w14:paraId="15878CBA" w14:textId="77777777" w:rsidR="00741C0D" w:rsidRDefault="00741C0D" w:rsidP="005B3FB4">
      <w:pPr>
        <w:spacing w:line="276" w:lineRule="auto"/>
        <w:rPr>
          <w:rFonts w:asciiTheme="minorHAnsi" w:hAnsiTheme="minorHAnsi"/>
          <w:sz w:val="22"/>
          <w:szCs w:val="22"/>
        </w:rPr>
      </w:pPr>
    </w:p>
    <w:p w14:paraId="0C2E72B9" w14:textId="77777777" w:rsidR="00741C0D" w:rsidRDefault="00741C0D" w:rsidP="005B3FB4">
      <w:pPr>
        <w:spacing w:line="276" w:lineRule="auto"/>
        <w:rPr>
          <w:rFonts w:asciiTheme="minorHAnsi" w:hAnsiTheme="minorHAnsi"/>
          <w:sz w:val="22"/>
          <w:szCs w:val="22"/>
        </w:rPr>
      </w:pPr>
    </w:p>
    <w:p w14:paraId="6CF3CAB1" w14:textId="77777777" w:rsidR="00741C0D" w:rsidRPr="00DF0BAC" w:rsidRDefault="00741C0D" w:rsidP="005B3FB4">
      <w:pPr>
        <w:spacing w:line="276" w:lineRule="auto"/>
        <w:rPr>
          <w:rFonts w:asciiTheme="minorHAnsi" w:hAnsiTheme="minorHAnsi"/>
          <w:sz w:val="22"/>
          <w:szCs w:val="22"/>
        </w:rPr>
      </w:pPr>
    </w:p>
    <w:p w14:paraId="5FB3DDF0" w14:textId="77777777" w:rsidR="00924795" w:rsidRDefault="00924795" w:rsidP="005B3FB4">
      <w:pPr>
        <w:spacing w:line="276" w:lineRule="auto"/>
        <w:rPr>
          <w:rFonts w:asciiTheme="minorHAnsi" w:hAnsiTheme="minorHAnsi"/>
          <w:sz w:val="22"/>
          <w:szCs w:val="22"/>
          <w:u w:val="single"/>
        </w:rPr>
      </w:pPr>
      <w:r w:rsidRPr="00924795">
        <w:rPr>
          <w:rFonts w:asciiTheme="minorHAnsi" w:hAnsiTheme="minorHAnsi"/>
          <w:sz w:val="22"/>
          <w:szCs w:val="22"/>
          <w:u w:val="single"/>
        </w:rPr>
        <w:t>Rozdělovník</w:t>
      </w:r>
      <w:r w:rsidR="001A0582">
        <w:rPr>
          <w:rFonts w:asciiTheme="minorHAnsi" w:hAnsiTheme="minorHAnsi"/>
          <w:sz w:val="22"/>
          <w:szCs w:val="22"/>
          <w:u w:val="single"/>
        </w:rPr>
        <w:t>:</w:t>
      </w:r>
    </w:p>
    <w:p w14:paraId="125620EC" w14:textId="77777777" w:rsidR="00A57E0E" w:rsidRDefault="00A57E0E" w:rsidP="005B3FB4">
      <w:pPr>
        <w:spacing w:line="276" w:lineRule="auto"/>
        <w:rPr>
          <w:rFonts w:asciiTheme="minorHAnsi" w:hAnsiTheme="minorHAnsi"/>
          <w:sz w:val="22"/>
          <w:szCs w:val="22"/>
          <w:u w:val="single"/>
        </w:rPr>
      </w:pPr>
    </w:p>
    <w:p w14:paraId="0D39C452" w14:textId="77777777"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lastRenderedPageBreak/>
        <w:t xml:space="preserve">1/ ČR – </w:t>
      </w:r>
      <w:r w:rsidRPr="00950A80">
        <w:rPr>
          <w:rFonts w:ascii="Segoe UI" w:eastAsiaTheme="minorHAnsi" w:hAnsi="Segoe UI" w:cs="Segoe UI"/>
          <w:sz w:val="20"/>
          <w:szCs w:val="20"/>
          <w:lang w:eastAsia="en-US"/>
        </w:rPr>
        <w:t xml:space="preserve">Povodí Labe, státní podnik, Víta Nejedlého 951/8, Slezské Předměstí, 50003 Hradec </w:t>
      </w:r>
      <w:proofErr w:type="gramStart"/>
      <w:r w:rsidRPr="00950A80">
        <w:rPr>
          <w:rFonts w:ascii="Segoe UI" w:eastAsiaTheme="minorHAnsi" w:hAnsi="Segoe UI" w:cs="Segoe UI"/>
          <w:sz w:val="20"/>
          <w:szCs w:val="20"/>
          <w:lang w:eastAsia="en-US"/>
        </w:rPr>
        <w:t xml:space="preserve">Králové  </w:t>
      </w:r>
      <w:r w:rsidR="00A57E0E">
        <w:rPr>
          <w:rFonts w:ascii="Segoe UI" w:eastAsiaTheme="minorHAnsi" w:hAnsi="Segoe UI" w:cs="Segoe UI"/>
          <w:sz w:val="20"/>
          <w:szCs w:val="20"/>
          <w:lang w:eastAsia="en-US"/>
        </w:rPr>
        <w:t>-</w:t>
      </w:r>
      <w:proofErr w:type="gramEnd"/>
      <w:r w:rsidR="00A57E0E">
        <w:rPr>
          <w:rFonts w:ascii="Segoe UI" w:eastAsiaTheme="minorHAnsi" w:hAnsi="Segoe UI" w:cs="Segoe UI"/>
          <w:sz w:val="20"/>
          <w:szCs w:val="20"/>
          <w:lang w:eastAsia="en-US"/>
        </w:rPr>
        <w:t xml:space="preserve"> DS</w:t>
      </w:r>
    </w:p>
    <w:p w14:paraId="7C2D354F" w14:textId="77777777" w:rsidR="00950A80" w:rsidRPr="00A57E0E"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2/ </w:t>
      </w:r>
      <w:proofErr w:type="gramStart"/>
      <w:r w:rsidRPr="00950A80">
        <w:rPr>
          <w:rFonts w:asciiTheme="minorHAnsi" w:eastAsiaTheme="minorHAnsi" w:hAnsiTheme="minorHAnsi" w:cstheme="minorBidi"/>
          <w:sz w:val="22"/>
          <w:szCs w:val="22"/>
          <w:lang w:eastAsia="en-US"/>
        </w:rPr>
        <w:t xml:space="preserve">ČR - </w:t>
      </w:r>
      <w:r w:rsidRPr="00950A80">
        <w:rPr>
          <w:rFonts w:ascii="Segoe UI" w:eastAsiaTheme="minorHAnsi" w:hAnsi="Segoe UI" w:cs="Segoe UI"/>
          <w:sz w:val="20"/>
          <w:szCs w:val="20"/>
          <w:lang w:eastAsia="en-US"/>
        </w:rPr>
        <w:t>Úřad</w:t>
      </w:r>
      <w:proofErr w:type="gramEnd"/>
      <w:r w:rsidRPr="00950A80">
        <w:rPr>
          <w:rFonts w:ascii="Segoe UI" w:eastAsiaTheme="minorHAnsi" w:hAnsi="Segoe UI" w:cs="Segoe UI"/>
          <w:sz w:val="20"/>
          <w:szCs w:val="20"/>
          <w:lang w:eastAsia="en-US"/>
        </w:rPr>
        <w:t xml:space="preserve"> pro zastupování státu ve věcech majetkových, Rašínovo nábřeží 390/42, Nové Město, 12800 Praha 2 </w:t>
      </w:r>
      <w:r w:rsidR="00A57E0E">
        <w:rPr>
          <w:rFonts w:ascii="Segoe UI" w:eastAsiaTheme="minorHAnsi" w:hAnsi="Segoe UI" w:cs="Segoe UI"/>
          <w:sz w:val="20"/>
          <w:szCs w:val="20"/>
          <w:lang w:eastAsia="en-US"/>
        </w:rPr>
        <w:t>- DS</w:t>
      </w:r>
    </w:p>
    <w:p w14:paraId="6D630864" w14:textId="60C6DEEA"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3/ </w:t>
      </w:r>
      <w:r w:rsidR="00837329">
        <w:rPr>
          <w:rFonts w:asciiTheme="minorHAnsi" w:hAnsiTheme="minorHAnsi"/>
          <w:b/>
          <w:sz w:val="22"/>
          <w:szCs w:val="22"/>
        </w:rPr>
        <w:t>------------------------------------</w:t>
      </w:r>
      <w:r w:rsidRPr="00950A80">
        <w:rPr>
          <w:rFonts w:ascii="Segoe UI" w:eastAsiaTheme="minorHAnsi" w:hAnsi="Segoe UI" w:cs="Segoe UI"/>
          <w:color w:val="000000"/>
          <w:sz w:val="20"/>
          <w:szCs w:val="20"/>
          <w:lang w:eastAsia="en-US"/>
        </w:rPr>
        <w:t xml:space="preserve"> </w:t>
      </w:r>
    </w:p>
    <w:p w14:paraId="0B45C55D" w14:textId="77777777"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Segoe UI" w:eastAsiaTheme="minorHAnsi" w:hAnsi="Segoe UI" w:cs="Segoe UI"/>
          <w:color w:val="000000"/>
          <w:sz w:val="20"/>
          <w:szCs w:val="20"/>
          <w:lang w:eastAsia="en-US"/>
        </w:rPr>
        <w:t xml:space="preserve">4/ Zemědělské družstvo Podchlumí Dobrá Voda, č. p. 210, 50773 Dobrá Voda u </w:t>
      </w:r>
      <w:proofErr w:type="gramStart"/>
      <w:r w:rsidRPr="00950A80">
        <w:rPr>
          <w:rFonts w:ascii="Segoe UI" w:eastAsiaTheme="minorHAnsi" w:hAnsi="Segoe UI" w:cs="Segoe UI"/>
          <w:color w:val="000000"/>
          <w:sz w:val="20"/>
          <w:szCs w:val="20"/>
          <w:lang w:eastAsia="en-US"/>
        </w:rPr>
        <w:t xml:space="preserve">Hořic </w:t>
      </w:r>
      <w:r w:rsidR="00A57E0E">
        <w:rPr>
          <w:rFonts w:ascii="Segoe UI" w:eastAsiaTheme="minorHAnsi" w:hAnsi="Segoe UI" w:cs="Segoe UI"/>
          <w:color w:val="000000"/>
          <w:sz w:val="20"/>
          <w:szCs w:val="20"/>
          <w:lang w:eastAsia="en-US"/>
        </w:rPr>
        <w:t>- DS</w:t>
      </w:r>
      <w:proofErr w:type="gramEnd"/>
    </w:p>
    <w:p w14:paraId="0EB13CF5" w14:textId="622C1BC7" w:rsidR="00950A80" w:rsidRPr="00950A80" w:rsidRDefault="00950A80" w:rsidP="00950A80">
      <w:pPr>
        <w:spacing w:line="259" w:lineRule="auto"/>
        <w:jc w:val="both"/>
        <w:rPr>
          <w:rFonts w:ascii="Segoe UI" w:eastAsiaTheme="minorHAnsi" w:hAnsi="Segoe UI" w:cs="Segoe UI"/>
          <w:color w:val="000000"/>
          <w:sz w:val="20"/>
          <w:szCs w:val="20"/>
          <w:lang w:eastAsia="en-US"/>
        </w:rPr>
      </w:pPr>
      <w:r w:rsidRPr="00950A80">
        <w:rPr>
          <w:rFonts w:asciiTheme="minorHAnsi" w:eastAsiaTheme="minorHAnsi" w:hAnsiTheme="minorHAnsi" w:cstheme="minorBidi"/>
          <w:sz w:val="22"/>
          <w:szCs w:val="22"/>
          <w:lang w:eastAsia="en-US"/>
        </w:rPr>
        <w:t xml:space="preserve">5/ </w:t>
      </w:r>
      <w:r w:rsidR="00837329">
        <w:rPr>
          <w:rFonts w:asciiTheme="minorHAnsi" w:hAnsiTheme="minorHAnsi"/>
          <w:b/>
          <w:sz w:val="22"/>
          <w:szCs w:val="22"/>
        </w:rPr>
        <w:t>------------------------------------</w:t>
      </w:r>
      <w:r w:rsidRPr="00950A80">
        <w:rPr>
          <w:rFonts w:asciiTheme="minorHAnsi" w:eastAsiaTheme="minorHAnsi" w:hAnsiTheme="minorHAnsi" w:cstheme="minorBidi"/>
          <w:sz w:val="22"/>
          <w:szCs w:val="22"/>
          <w:lang w:eastAsia="en-US"/>
        </w:rPr>
        <w:t xml:space="preserve"> </w:t>
      </w:r>
    </w:p>
    <w:p w14:paraId="407C3103" w14:textId="691D5A6E"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6/ </w:t>
      </w:r>
      <w:r w:rsidR="00837329">
        <w:rPr>
          <w:rFonts w:asciiTheme="minorHAnsi" w:hAnsiTheme="minorHAnsi"/>
          <w:b/>
          <w:sz w:val="22"/>
          <w:szCs w:val="22"/>
        </w:rPr>
        <w:t>------------------------------------</w:t>
      </w:r>
      <w:r w:rsidRPr="00950A80">
        <w:rPr>
          <w:rFonts w:asciiTheme="minorHAnsi" w:eastAsiaTheme="minorHAnsi" w:hAnsiTheme="minorHAnsi" w:cstheme="minorBidi"/>
          <w:sz w:val="22"/>
          <w:szCs w:val="22"/>
          <w:lang w:eastAsia="en-US"/>
        </w:rPr>
        <w:t xml:space="preserve"> </w:t>
      </w:r>
    </w:p>
    <w:p w14:paraId="777107CB" w14:textId="0A34957A"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7/ </w:t>
      </w:r>
      <w:r w:rsidR="00837329">
        <w:rPr>
          <w:rFonts w:asciiTheme="minorHAnsi" w:hAnsiTheme="minorHAnsi"/>
          <w:b/>
          <w:sz w:val="22"/>
          <w:szCs w:val="22"/>
        </w:rPr>
        <w:t>------------------------------------</w:t>
      </w:r>
      <w:r w:rsidRPr="00950A80">
        <w:rPr>
          <w:rFonts w:asciiTheme="minorHAnsi" w:eastAsiaTheme="minorHAnsi" w:hAnsiTheme="minorHAnsi" w:cstheme="minorBidi"/>
          <w:sz w:val="22"/>
          <w:szCs w:val="22"/>
          <w:lang w:eastAsia="en-US"/>
        </w:rPr>
        <w:t xml:space="preserve"> </w:t>
      </w:r>
    </w:p>
    <w:p w14:paraId="4644F06E" w14:textId="252788BF"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8/ </w:t>
      </w:r>
      <w:r w:rsidR="00837329">
        <w:rPr>
          <w:rFonts w:asciiTheme="minorHAnsi" w:hAnsiTheme="minorHAnsi"/>
          <w:b/>
          <w:sz w:val="22"/>
          <w:szCs w:val="22"/>
        </w:rPr>
        <w:t>------------------------------------</w:t>
      </w:r>
      <w:r w:rsidRPr="00950A80">
        <w:rPr>
          <w:rFonts w:ascii="Segoe UI" w:eastAsiaTheme="minorHAnsi" w:hAnsi="Segoe UI" w:cs="Segoe UI"/>
          <w:sz w:val="20"/>
          <w:szCs w:val="20"/>
          <w:lang w:eastAsia="en-US"/>
        </w:rPr>
        <w:t xml:space="preserve"> </w:t>
      </w:r>
    </w:p>
    <w:p w14:paraId="5DC88533" w14:textId="223957CD"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9/ </w:t>
      </w:r>
      <w:r w:rsidR="00837329">
        <w:rPr>
          <w:rFonts w:asciiTheme="minorHAnsi" w:hAnsiTheme="minorHAnsi"/>
          <w:b/>
          <w:sz w:val="22"/>
          <w:szCs w:val="22"/>
        </w:rPr>
        <w:t>------------------------------------</w:t>
      </w:r>
      <w:r w:rsidRPr="00950A80">
        <w:rPr>
          <w:rFonts w:ascii="Segoe UI" w:eastAsiaTheme="minorHAnsi" w:hAnsi="Segoe UI" w:cs="Segoe UI"/>
          <w:sz w:val="20"/>
          <w:szCs w:val="20"/>
          <w:lang w:eastAsia="en-US"/>
        </w:rPr>
        <w:t xml:space="preserve"> </w:t>
      </w:r>
    </w:p>
    <w:p w14:paraId="70AADC2D" w14:textId="2A111A11"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10/ </w:t>
      </w:r>
      <w:r w:rsidR="00837329">
        <w:rPr>
          <w:rFonts w:asciiTheme="minorHAnsi" w:hAnsiTheme="minorHAnsi"/>
          <w:b/>
          <w:sz w:val="22"/>
          <w:szCs w:val="22"/>
        </w:rPr>
        <w:t>------------------------------------</w:t>
      </w:r>
      <w:r w:rsidRPr="00950A80">
        <w:rPr>
          <w:rFonts w:ascii="Segoe UI" w:eastAsiaTheme="minorHAnsi" w:hAnsi="Segoe UI" w:cs="Segoe UI"/>
          <w:sz w:val="20"/>
          <w:szCs w:val="20"/>
          <w:lang w:eastAsia="en-US"/>
        </w:rPr>
        <w:t xml:space="preserve"> </w:t>
      </w:r>
    </w:p>
    <w:p w14:paraId="65CDA4B4" w14:textId="4F61945B" w:rsidR="00950A80" w:rsidRPr="00950A80"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Segoe UI" w:eastAsiaTheme="minorHAnsi" w:hAnsi="Segoe UI" w:cs="Segoe UI"/>
          <w:sz w:val="20"/>
          <w:szCs w:val="20"/>
          <w:lang w:eastAsia="en-US"/>
        </w:rPr>
        <w:t xml:space="preserve">11/ </w:t>
      </w:r>
      <w:r w:rsidR="00837329">
        <w:rPr>
          <w:rFonts w:asciiTheme="minorHAnsi" w:hAnsiTheme="minorHAnsi"/>
          <w:b/>
          <w:sz w:val="22"/>
          <w:szCs w:val="22"/>
        </w:rPr>
        <w:t>------------------------------------</w:t>
      </w:r>
      <w:r w:rsidRPr="00950A80">
        <w:rPr>
          <w:rFonts w:ascii="Segoe UI" w:eastAsiaTheme="minorHAnsi" w:hAnsi="Segoe UI" w:cs="Segoe UI"/>
          <w:sz w:val="20"/>
          <w:szCs w:val="20"/>
          <w:lang w:eastAsia="en-US"/>
        </w:rPr>
        <w:t xml:space="preserve"> </w:t>
      </w:r>
    </w:p>
    <w:p w14:paraId="1D347F0F" w14:textId="77777777"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12/ </w:t>
      </w:r>
      <w:r w:rsidRPr="00950A80">
        <w:rPr>
          <w:rFonts w:ascii="Segoe UI" w:eastAsiaTheme="minorHAnsi" w:hAnsi="Segoe UI" w:cs="Segoe UI"/>
          <w:sz w:val="20"/>
          <w:szCs w:val="20"/>
          <w:lang w:eastAsia="en-US"/>
        </w:rPr>
        <w:t xml:space="preserve">Obec Holovousy, č. p. 39, 50801 </w:t>
      </w:r>
      <w:proofErr w:type="gramStart"/>
      <w:r w:rsidRPr="00950A80">
        <w:rPr>
          <w:rFonts w:ascii="Segoe UI" w:eastAsiaTheme="minorHAnsi" w:hAnsi="Segoe UI" w:cs="Segoe UI"/>
          <w:sz w:val="20"/>
          <w:szCs w:val="20"/>
          <w:lang w:eastAsia="en-US"/>
        </w:rPr>
        <w:t xml:space="preserve">Holovousy </w:t>
      </w:r>
      <w:r w:rsidR="009D2C91">
        <w:rPr>
          <w:rFonts w:ascii="Segoe UI" w:eastAsiaTheme="minorHAnsi" w:hAnsi="Segoe UI" w:cs="Segoe UI"/>
          <w:sz w:val="20"/>
          <w:szCs w:val="20"/>
          <w:lang w:eastAsia="en-US"/>
        </w:rPr>
        <w:t>- DS</w:t>
      </w:r>
      <w:proofErr w:type="gramEnd"/>
    </w:p>
    <w:p w14:paraId="01FB2AFC" w14:textId="32E8C6F8"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13/ </w:t>
      </w:r>
      <w:r w:rsidR="00837329">
        <w:rPr>
          <w:rFonts w:asciiTheme="minorHAnsi" w:hAnsiTheme="minorHAnsi"/>
          <w:b/>
          <w:sz w:val="22"/>
          <w:szCs w:val="22"/>
        </w:rPr>
        <w:t>------------------------------------</w:t>
      </w:r>
      <w:r w:rsidRPr="00950A80">
        <w:rPr>
          <w:rFonts w:ascii="Segoe UI" w:eastAsiaTheme="minorHAnsi" w:hAnsi="Segoe UI" w:cs="Segoe UI"/>
          <w:sz w:val="20"/>
          <w:szCs w:val="20"/>
          <w:lang w:eastAsia="en-US"/>
        </w:rPr>
        <w:t xml:space="preserve"> </w:t>
      </w:r>
    </w:p>
    <w:p w14:paraId="1BACB26E" w14:textId="73B6A0C2" w:rsidR="00950A80" w:rsidRPr="00950A80"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14/ </w:t>
      </w:r>
      <w:r w:rsidR="00837329">
        <w:rPr>
          <w:rFonts w:asciiTheme="minorHAnsi" w:hAnsiTheme="minorHAnsi"/>
          <w:b/>
          <w:sz w:val="22"/>
          <w:szCs w:val="22"/>
        </w:rPr>
        <w:t>------------------------------------</w:t>
      </w:r>
      <w:r w:rsidRPr="00950A80">
        <w:rPr>
          <w:rFonts w:ascii="Segoe UI" w:eastAsiaTheme="minorHAnsi" w:hAnsi="Segoe UI" w:cs="Segoe UI"/>
          <w:sz w:val="20"/>
          <w:szCs w:val="20"/>
          <w:lang w:eastAsia="en-US"/>
        </w:rPr>
        <w:t xml:space="preserve"> </w:t>
      </w:r>
    </w:p>
    <w:p w14:paraId="4B45F83C" w14:textId="77777777"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Segoe UI" w:eastAsiaTheme="minorHAnsi" w:hAnsi="Segoe UI" w:cs="Segoe UI"/>
          <w:sz w:val="20"/>
          <w:szCs w:val="20"/>
          <w:lang w:eastAsia="en-US"/>
        </w:rPr>
        <w:t xml:space="preserve">15/ Kinský dal </w:t>
      </w:r>
      <w:proofErr w:type="spellStart"/>
      <w:r w:rsidRPr="00950A80">
        <w:rPr>
          <w:rFonts w:ascii="Segoe UI" w:eastAsiaTheme="minorHAnsi" w:hAnsi="Segoe UI" w:cs="Segoe UI"/>
          <w:sz w:val="20"/>
          <w:szCs w:val="20"/>
          <w:lang w:eastAsia="en-US"/>
        </w:rPr>
        <w:t>Borgo</w:t>
      </w:r>
      <w:proofErr w:type="spellEnd"/>
      <w:r w:rsidRPr="00950A80">
        <w:rPr>
          <w:rFonts w:ascii="Segoe UI" w:eastAsiaTheme="minorHAnsi" w:hAnsi="Segoe UI" w:cs="Segoe UI"/>
          <w:sz w:val="20"/>
          <w:szCs w:val="20"/>
          <w:lang w:eastAsia="en-US"/>
        </w:rPr>
        <w:t xml:space="preserve">, a.s., Komenského 5, Chlumec nad Cidlinou IV, 50351 Chlumec nad </w:t>
      </w:r>
      <w:proofErr w:type="gramStart"/>
      <w:r w:rsidRPr="00950A80">
        <w:rPr>
          <w:rFonts w:ascii="Segoe UI" w:eastAsiaTheme="minorHAnsi" w:hAnsi="Segoe UI" w:cs="Segoe UI"/>
          <w:sz w:val="20"/>
          <w:szCs w:val="20"/>
          <w:lang w:eastAsia="en-US"/>
        </w:rPr>
        <w:t>Cidlinou</w:t>
      </w:r>
      <w:r w:rsidR="00A57E0E">
        <w:rPr>
          <w:rFonts w:ascii="Segoe UI" w:eastAsiaTheme="minorHAnsi" w:hAnsi="Segoe UI" w:cs="Segoe UI"/>
          <w:sz w:val="20"/>
          <w:szCs w:val="20"/>
          <w:lang w:eastAsia="en-US"/>
        </w:rPr>
        <w:t xml:space="preserve"> -</w:t>
      </w:r>
      <w:r w:rsidR="00CE297C">
        <w:rPr>
          <w:rFonts w:ascii="Segoe UI" w:eastAsiaTheme="minorHAnsi" w:hAnsi="Segoe UI" w:cs="Segoe UI"/>
          <w:sz w:val="20"/>
          <w:szCs w:val="20"/>
          <w:lang w:eastAsia="en-US"/>
        </w:rPr>
        <w:t xml:space="preserve"> </w:t>
      </w:r>
      <w:r w:rsidR="00A57E0E">
        <w:rPr>
          <w:rFonts w:ascii="Segoe UI" w:eastAsiaTheme="minorHAnsi" w:hAnsi="Segoe UI" w:cs="Segoe UI"/>
          <w:sz w:val="20"/>
          <w:szCs w:val="20"/>
          <w:lang w:eastAsia="en-US"/>
        </w:rPr>
        <w:t>DS</w:t>
      </w:r>
      <w:proofErr w:type="gramEnd"/>
      <w:r w:rsidRPr="00950A80">
        <w:rPr>
          <w:rFonts w:ascii="Segoe UI" w:eastAsiaTheme="minorHAnsi" w:hAnsi="Segoe UI" w:cs="Segoe UI"/>
          <w:sz w:val="20"/>
          <w:szCs w:val="20"/>
          <w:lang w:eastAsia="en-US"/>
        </w:rPr>
        <w:t xml:space="preserve"> </w:t>
      </w:r>
    </w:p>
    <w:p w14:paraId="5650F135" w14:textId="09273B6B" w:rsidR="00A57E0E" w:rsidRPr="00A57E0E" w:rsidRDefault="00950A80" w:rsidP="00950A80">
      <w:pPr>
        <w:spacing w:line="259" w:lineRule="auto"/>
        <w:jc w:val="both"/>
        <w:rPr>
          <w:rFonts w:ascii="Segoe UI" w:eastAsiaTheme="minorHAnsi" w:hAnsi="Segoe UI" w:cs="Segoe UI"/>
          <w:sz w:val="20"/>
          <w:szCs w:val="20"/>
          <w:lang w:eastAsia="en-US"/>
        </w:rPr>
      </w:pPr>
      <w:r w:rsidRPr="00950A80">
        <w:rPr>
          <w:rFonts w:asciiTheme="minorHAnsi" w:eastAsiaTheme="minorHAnsi" w:hAnsiTheme="minorHAnsi" w:cstheme="minorBidi"/>
          <w:sz w:val="22"/>
          <w:szCs w:val="22"/>
          <w:lang w:eastAsia="en-US"/>
        </w:rPr>
        <w:t xml:space="preserve">16/ </w:t>
      </w:r>
      <w:r w:rsidR="00837329">
        <w:rPr>
          <w:rFonts w:asciiTheme="minorHAnsi" w:hAnsiTheme="minorHAnsi"/>
          <w:b/>
          <w:sz w:val="22"/>
          <w:szCs w:val="22"/>
        </w:rPr>
        <w:t>------------------------------------</w:t>
      </w:r>
      <w:r w:rsidRPr="00950A80">
        <w:rPr>
          <w:rFonts w:ascii="Segoe UI" w:eastAsiaTheme="minorHAnsi" w:hAnsi="Segoe UI" w:cs="Segoe UI"/>
          <w:sz w:val="20"/>
          <w:szCs w:val="20"/>
          <w:lang w:eastAsia="en-US"/>
        </w:rPr>
        <w:t xml:space="preserve"> </w:t>
      </w:r>
    </w:p>
    <w:p w14:paraId="7A426F2B" w14:textId="78EFE9E0" w:rsidR="00950A80" w:rsidRPr="00A57E0E" w:rsidRDefault="00950A80" w:rsidP="00950A80">
      <w:pPr>
        <w:spacing w:line="259" w:lineRule="auto"/>
        <w:jc w:val="both"/>
        <w:rPr>
          <w:rFonts w:asciiTheme="minorHAnsi" w:eastAsiaTheme="minorHAnsi" w:hAnsiTheme="minorHAnsi" w:cstheme="minorBidi"/>
          <w:sz w:val="22"/>
          <w:szCs w:val="22"/>
          <w:lang w:eastAsia="en-US"/>
        </w:rPr>
      </w:pPr>
      <w:r w:rsidRPr="00950A80">
        <w:rPr>
          <w:rFonts w:asciiTheme="minorHAnsi" w:eastAsiaTheme="minorHAnsi" w:hAnsiTheme="minorHAnsi" w:cstheme="minorBidi"/>
          <w:sz w:val="22"/>
          <w:szCs w:val="22"/>
          <w:lang w:eastAsia="en-US"/>
        </w:rPr>
        <w:t xml:space="preserve">17/ </w:t>
      </w:r>
      <w:r w:rsidR="00837329">
        <w:rPr>
          <w:rFonts w:asciiTheme="minorHAnsi" w:hAnsiTheme="minorHAnsi"/>
          <w:b/>
          <w:sz w:val="22"/>
          <w:szCs w:val="22"/>
        </w:rPr>
        <w:t>------------------------------------</w:t>
      </w:r>
    </w:p>
    <w:p w14:paraId="61AFBA8E" w14:textId="77777777" w:rsidR="00A57E0E" w:rsidRDefault="00A57E0E" w:rsidP="00A57E0E">
      <w:pPr>
        <w:spacing w:line="276" w:lineRule="auto"/>
        <w:rPr>
          <w:rFonts w:asciiTheme="minorHAnsi" w:hAnsiTheme="minorHAnsi"/>
          <w:sz w:val="22"/>
          <w:szCs w:val="22"/>
        </w:rPr>
      </w:pPr>
      <w:r>
        <w:rPr>
          <w:rFonts w:asciiTheme="minorHAnsi" w:eastAsiaTheme="minorHAnsi" w:hAnsiTheme="minorHAnsi" w:cstheme="minorBidi"/>
          <w:sz w:val="22"/>
          <w:szCs w:val="22"/>
          <w:lang w:eastAsia="en-US"/>
        </w:rPr>
        <w:t xml:space="preserve">18/ </w:t>
      </w:r>
      <w:r>
        <w:rPr>
          <w:rFonts w:asciiTheme="minorHAnsi" w:hAnsiTheme="minorHAnsi"/>
          <w:sz w:val="22"/>
          <w:szCs w:val="22"/>
        </w:rPr>
        <w:t xml:space="preserve">MÚ </w:t>
      </w:r>
      <w:proofErr w:type="gramStart"/>
      <w:r>
        <w:rPr>
          <w:rFonts w:asciiTheme="minorHAnsi" w:hAnsiTheme="minorHAnsi"/>
          <w:sz w:val="22"/>
          <w:szCs w:val="22"/>
        </w:rPr>
        <w:t xml:space="preserve">Hořice </w:t>
      </w:r>
      <w:r w:rsidR="00A36D07">
        <w:rPr>
          <w:rFonts w:asciiTheme="minorHAnsi" w:hAnsiTheme="minorHAnsi"/>
          <w:sz w:val="22"/>
          <w:szCs w:val="22"/>
        </w:rPr>
        <w:t>-</w:t>
      </w:r>
      <w:r>
        <w:rPr>
          <w:rFonts w:asciiTheme="minorHAnsi" w:hAnsiTheme="minorHAnsi"/>
          <w:sz w:val="22"/>
          <w:szCs w:val="22"/>
        </w:rPr>
        <w:t xml:space="preserve"> DS</w:t>
      </w:r>
      <w:proofErr w:type="gramEnd"/>
      <w:r>
        <w:rPr>
          <w:rFonts w:asciiTheme="minorHAnsi" w:hAnsiTheme="minorHAnsi"/>
          <w:sz w:val="22"/>
          <w:szCs w:val="22"/>
        </w:rPr>
        <w:t xml:space="preserve"> (+ spolu se spisem po </w:t>
      </w:r>
      <w:proofErr w:type="spellStart"/>
      <w:r>
        <w:rPr>
          <w:rFonts w:asciiTheme="minorHAnsi" w:hAnsiTheme="minorHAnsi"/>
          <w:sz w:val="22"/>
          <w:szCs w:val="22"/>
        </w:rPr>
        <w:t>p.m</w:t>
      </w:r>
      <w:proofErr w:type="spellEnd"/>
      <w:r>
        <w:rPr>
          <w:rFonts w:asciiTheme="minorHAnsi" w:hAnsiTheme="minorHAnsi"/>
          <w:sz w:val="22"/>
          <w:szCs w:val="22"/>
        </w:rPr>
        <w:t>. rozhodnutí)</w:t>
      </w:r>
    </w:p>
    <w:p w14:paraId="2D94D631" w14:textId="77777777" w:rsidR="00A36D07" w:rsidRDefault="00A36D07" w:rsidP="00A57E0E">
      <w:pPr>
        <w:spacing w:line="276" w:lineRule="auto"/>
        <w:rPr>
          <w:rFonts w:asciiTheme="minorHAnsi" w:hAnsiTheme="minorHAnsi"/>
          <w:sz w:val="22"/>
          <w:szCs w:val="22"/>
        </w:rPr>
      </w:pPr>
      <w:r>
        <w:rPr>
          <w:rFonts w:asciiTheme="minorHAnsi" w:hAnsiTheme="minorHAnsi"/>
          <w:sz w:val="22"/>
          <w:szCs w:val="22"/>
        </w:rPr>
        <w:t xml:space="preserve">19/ Drážní </w:t>
      </w:r>
      <w:proofErr w:type="gramStart"/>
      <w:r>
        <w:rPr>
          <w:rFonts w:asciiTheme="minorHAnsi" w:hAnsiTheme="minorHAnsi"/>
          <w:sz w:val="22"/>
          <w:szCs w:val="22"/>
        </w:rPr>
        <w:t>úřad - DS</w:t>
      </w:r>
      <w:proofErr w:type="gramEnd"/>
    </w:p>
    <w:p w14:paraId="41E9F243" w14:textId="77777777" w:rsidR="00A57E0E" w:rsidRPr="00950A80" w:rsidRDefault="00A57E0E" w:rsidP="00950A80">
      <w:pPr>
        <w:spacing w:line="259" w:lineRule="auto"/>
        <w:jc w:val="both"/>
        <w:rPr>
          <w:rFonts w:asciiTheme="minorHAnsi" w:eastAsiaTheme="minorHAnsi" w:hAnsiTheme="minorHAnsi" w:cstheme="minorBidi"/>
          <w:sz w:val="22"/>
          <w:szCs w:val="22"/>
          <w:lang w:eastAsia="en-US"/>
        </w:rPr>
      </w:pPr>
    </w:p>
    <w:p w14:paraId="46FFD3B9" w14:textId="77777777" w:rsidR="00950A80" w:rsidRPr="004B4EA6" w:rsidRDefault="00950A80" w:rsidP="005B3FB4">
      <w:pPr>
        <w:spacing w:line="276" w:lineRule="auto"/>
        <w:rPr>
          <w:rFonts w:asciiTheme="minorHAnsi" w:hAnsiTheme="minorHAnsi"/>
          <w:sz w:val="22"/>
          <w:szCs w:val="22"/>
        </w:rPr>
      </w:pPr>
    </w:p>
    <w:p w14:paraId="5F6A42D0" w14:textId="77777777" w:rsidR="00647C77" w:rsidRPr="00924795" w:rsidRDefault="00647C77" w:rsidP="005B3FB4">
      <w:pPr>
        <w:pStyle w:val="Zkladntext"/>
        <w:spacing w:line="276" w:lineRule="auto"/>
        <w:jc w:val="both"/>
        <w:rPr>
          <w:rFonts w:asciiTheme="minorHAnsi" w:hAnsiTheme="minorHAnsi"/>
          <w:sz w:val="22"/>
          <w:szCs w:val="22"/>
        </w:rPr>
      </w:pPr>
    </w:p>
    <w:sectPr w:rsidR="00647C77" w:rsidRPr="00924795"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7197" w14:textId="77777777" w:rsidR="009615A4" w:rsidRDefault="009615A4">
      <w:r>
        <w:separator/>
      </w:r>
    </w:p>
  </w:endnote>
  <w:endnote w:type="continuationSeparator" w:id="0">
    <w:p w14:paraId="2CA09A01" w14:textId="77777777" w:rsidR="009615A4" w:rsidRDefault="0096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A4F1"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4D2B94C1"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1BF69CD6"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5EEB86B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0C9C3DE7"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01BE3"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E7FE"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9726E9">
      <w:rPr>
        <w:rStyle w:val="slostrnky"/>
        <w:rFonts w:asciiTheme="minorHAnsi" w:hAnsiTheme="minorHAnsi"/>
        <w:noProof/>
        <w:sz w:val="22"/>
        <w:szCs w:val="22"/>
      </w:rPr>
      <w:t>3</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651E" w14:textId="77777777" w:rsidR="009615A4" w:rsidRDefault="009615A4">
      <w:r>
        <w:separator/>
      </w:r>
    </w:p>
  </w:footnote>
  <w:footnote w:type="continuationSeparator" w:id="0">
    <w:p w14:paraId="62E0B41F" w14:textId="77777777" w:rsidR="009615A4" w:rsidRDefault="00961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5569E"/>
    <w:rsid w:val="00063F7B"/>
    <w:rsid w:val="00071466"/>
    <w:rsid w:val="000800FE"/>
    <w:rsid w:val="00084E81"/>
    <w:rsid w:val="000A7124"/>
    <w:rsid w:val="000A7893"/>
    <w:rsid w:val="000C15F8"/>
    <w:rsid w:val="000C2CB2"/>
    <w:rsid w:val="000D534D"/>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40C5C"/>
    <w:rsid w:val="00241D08"/>
    <w:rsid w:val="00265E97"/>
    <w:rsid w:val="00286280"/>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7483"/>
    <w:rsid w:val="00377A18"/>
    <w:rsid w:val="003849A5"/>
    <w:rsid w:val="00390E71"/>
    <w:rsid w:val="00397094"/>
    <w:rsid w:val="003A297B"/>
    <w:rsid w:val="003A616D"/>
    <w:rsid w:val="003E1973"/>
    <w:rsid w:val="003F74AF"/>
    <w:rsid w:val="0040521D"/>
    <w:rsid w:val="00406ECD"/>
    <w:rsid w:val="00411AD4"/>
    <w:rsid w:val="00424FAE"/>
    <w:rsid w:val="00425DA2"/>
    <w:rsid w:val="00450EB4"/>
    <w:rsid w:val="004520E3"/>
    <w:rsid w:val="004521BC"/>
    <w:rsid w:val="004705CD"/>
    <w:rsid w:val="00473BFC"/>
    <w:rsid w:val="004831F6"/>
    <w:rsid w:val="00486120"/>
    <w:rsid w:val="00490C36"/>
    <w:rsid w:val="004951B0"/>
    <w:rsid w:val="004A0BBF"/>
    <w:rsid w:val="004A45BB"/>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60EC5"/>
    <w:rsid w:val="005658B6"/>
    <w:rsid w:val="00566BDE"/>
    <w:rsid w:val="00570CBD"/>
    <w:rsid w:val="005744D3"/>
    <w:rsid w:val="00577D92"/>
    <w:rsid w:val="00585DD0"/>
    <w:rsid w:val="00585EC7"/>
    <w:rsid w:val="00591DDA"/>
    <w:rsid w:val="00597F36"/>
    <w:rsid w:val="005A0605"/>
    <w:rsid w:val="005A0B51"/>
    <w:rsid w:val="005A0E22"/>
    <w:rsid w:val="005B3FB4"/>
    <w:rsid w:val="005B46FB"/>
    <w:rsid w:val="005C1B10"/>
    <w:rsid w:val="005D5F6B"/>
    <w:rsid w:val="005D603A"/>
    <w:rsid w:val="005E0891"/>
    <w:rsid w:val="005E372E"/>
    <w:rsid w:val="005F3AFC"/>
    <w:rsid w:val="00602976"/>
    <w:rsid w:val="00603FBC"/>
    <w:rsid w:val="00626433"/>
    <w:rsid w:val="00627F4E"/>
    <w:rsid w:val="00634A19"/>
    <w:rsid w:val="00640FFE"/>
    <w:rsid w:val="00647C77"/>
    <w:rsid w:val="006600FB"/>
    <w:rsid w:val="006652E3"/>
    <w:rsid w:val="00683A50"/>
    <w:rsid w:val="00683C34"/>
    <w:rsid w:val="00693D63"/>
    <w:rsid w:val="006B440C"/>
    <w:rsid w:val="006B47C3"/>
    <w:rsid w:val="006C13AF"/>
    <w:rsid w:val="006C5B4F"/>
    <w:rsid w:val="006E012F"/>
    <w:rsid w:val="006E3E12"/>
    <w:rsid w:val="006E767A"/>
    <w:rsid w:val="006E7E15"/>
    <w:rsid w:val="006F1692"/>
    <w:rsid w:val="006F382B"/>
    <w:rsid w:val="006F4A1D"/>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37329"/>
    <w:rsid w:val="00842E83"/>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80"/>
    <w:rsid w:val="00950A91"/>
    <w:rsid w:val="00951206"/>
    <w:rsid w:val="0095179D"/>
    <w:rsid w:val="00952F7D"/>
    <w:rsid w:val="00956FB5"/>
    <w:rsid w:val="009615A4"/>
    <w:rsid w:val="009726E9"/>
    <w:rsid w:val="00981785"/>
    <w:rsid w:val="00984508"/>
    <w:rsid w:val="009A2A12"/>
    <w:rsid w:val="009B6326"/>
    <w:rsid w:val="009D2C91"/>
    <w:rsid w:val="009D37F6"/>
    <w:rsid w:val="009E32D6"/>
    <w:rsid w:val="00A0246E"/>
    <w:rsid w:val="00A064F5"/>
    <w:rsid w:val="00A06986"/>
    <w:rsid w:val="00A30B07"/>
    <w:rsid w:val="00A36D07"/>
    <w:rsid w:val="00A37A59"/>
    <w:rsid w:val="00A46E6F"/>
    <w:rsid w:val="00A47448"/>
    <w:rsid w:val="00A53A5E"/>
    <w:rsid w:val="00A55E56"/>
    <w:rsid w:val="00A57E0E"/>
    <w:rsid w:val="00A61589"/>
    <w:rsid w:val="00A70943"/>
    <w:rsid w:val="00A819F7"/>
    <w:rsid w:val="00A872CB"/>
    <w:rsid w:val="00A87EF9"/>
    <w:rsid w:val="00A90044"/>
    <w:rsid w:val="00AB16D1"/>
    <w:rsid w:val="00AB6285"/>
    <w:rsid w:val="00AB67BE"/>
    <w:rsid w:val="00AC72EE"/>
    <w:rsid w:val="00AD66A7"/>
    <w:rsid w:val="00AF3AC6"/>
    <w:rsid w:val="00B1637E"/>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81A35"/>
    <w:rsid w:val="00C849EB"/>
    <w:rsid w:val="00C878CD"/>
    <w:rsid w:val="00C938B4"/>
    <w:rsid w:val="00CA3005"/>
    <w:rsid w:val="00CA4746"/>
    <w:rsid w:val="00CB164B"/>
    <w:rsid w:val="00CB7785"/>
    <w:rsid w:val="00CC4A1B"/>
    <w:rsid w:val="00CD1C6C"/>
    <w:rsid w:val="00CD2E33"/>
    <w:rsid w:val="00CE03AE"/>
    <w:rsid w:val="00CE297C"/>
    <w:rsid w:val="00CF52C5"/>
    <w:rsid w:val="00D05C69"/>
    <w:rsid w:val="00D10EE8"/>
    <w:rsid w:val="00D17D98"/>
    <w:rsid w:val="00D260DC"/>
    <w:rsid w:val="00D26F9F"/>
    <w:rsid w:val="00D32493"/>
    <w:rsid w:val="00D334F7"/>
    <w:rsid w:val="00D362D0"/>
    <w:rsid w:val="00D36918"/>
    <w:rsid w:val="00D46C77"/>
    <w:rsid w:val="00D50D99"/>
    <w:rsid w:val="00D61F73"/>
    <w:rsid w:val="00D64FAE"/>
    <w:rsid w:val="00D657B1"/>
    <w:rsid w:val="00D70BD2"/>
    <w:rsid w:val="00D73D7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63883"/>
    <w:rsid w:val="00E72235"/>
    <w:rsid w:val="00E73166"/>
    <w:rsid w:val="00E759C3"/>
    <w:rsid w:val="00E77A50"/>
    <w:rsid w:val="00E83900"/>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201976"/>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6F4D0-38AE-4585-B70F-B0A929E5E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1735</Words>
  <Characters>10237</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2020-02-06T11:48:00Z</cp:lastPrinted>
  <dcterms:created xsi:type="dcterms:W3CDTF">2024-11-28T08:48:00Z</dcterms:created>
  <dcterms:modified xsi:type="dcterms:W3CDTF">2024-11-28T08:48:00Z</dcterms:modified>
</cp:coreProperties>
</file>