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B17" w:rsidRPr="002D7B17" w:rsidRDefault="002D7B17" w:rsidP="002D7B17">
      <w:pPr>
        <w:rPr>
          <w:b/>
          <w:u w:val="single"/>
        </w:rPr>
      </w:pPr>
      <w:r w:rsidRPr="002D7B17">
        <w:rPr>
          <w:b/>
          <w:u w:val="single"/>
        </w:rPr>
        <w:t>DOTAZ a ODPOVĚĎ MINISTERSTVA SPRAVEDLNOSTI K NÍŽE POLOŽENÉ OTÁZCE</w:t>
      </w:r>
    </w:p>
    <w:p w:rsidR="002D7B17" w:rsidRDefault="002D7B17" w:rsidP="002D7B17"/>
    <w:p w:rsidR="002D7B17" w:rsidRDefault="002D7B17" w:rsidP="002D7B17"/>
    <w:p w:rsidR="002D7B17" w:rsidRDefault="002D7B17" w:rsidP="00A17172">
      <w:pPr>
        <w:pBdr>
          <w:bottom w:val="single" w:sz="4" w:space="1" w:color="auto"/>
        </w:pBdr>
      </w:pPr>
    </w:p>
    <w:p w:rsidR="00A17172" w:rsidRDefault="00A17172" w:rsidP="002D7B17">
      <w:pPr>
        <w:outlineLvl w:val="0"/>
        <w:rPr>
          <w:rFonts w:ascii="Tahoma" w:hAnsi="Tahoma" w:cs="Tahoma"/>
          <w:b/>
          <w:bCs/>
          <w:sz w:val="20"/>
          <w:szCs w:val="20"/>
          <w:lang w:eastAsia="cs-CZ"/>
        </w:rPr>
      </w:pPr>
    </w:p>
    <w:p w:rsidR="002D7B17" w:rsidRDefault="002D7B17" w:rsidP="002D7B17">
      <w:pPr>
        <w:outlineLvl w:val="0"/>
        <w:rPr>
          <w:rFonts w:ascii="Tahoma" w:hAnsi="Tahoma" w:cs="Tahoma"/>
          <w:sz w:val="20"/>
          <w:szCs w:val="20"/>
          <w:lang w:eastAsia="cs-CZ"/>
        </w:rPr>
      </w:pPr>
      <w:bookmarkStart w:id="0" w:name="_GoBack"/>
      <w:bookmarkEnd w:id="0"/>
      <w:proofErr w:type="spellStart"/>
      <w:r>
        <w:rPr>
          <w:rFonts w:ascii="Tahoma" w:hAnsi="Tahoma" w:cs="Tahoma"/>
          <w:b/>
          <w:bCs/>
          <w:sz w:val="20"/>
          <w:szCs w:val="20"/>
          <w:lang w:eastAsia="cs-CZ"/>
        </w:rPr>
        <w:t>From</w:t>
      </w:r>
      <w:proofErr w:type="spellEnd"/>
      <w:r>
        <w:rPr>
          <w:rFonts w:ascii="Tahoma" w:hAnsi="Tahoma" w:cs="Tahoma"/>
          <w:b/>
          <w:bCs/>
          <w:sz w:val="20"/>
          <w:szCs w:val="20"/>
          <w:lang w:eastAsia="cs-CZ"/>
        </w:rPr>
        <w:t>:</w:t>
      </w:r>
      <w:r>
        <w:rPr>
          <w:rFonts w:ascii="Tahoma" w:hAnsi="Tahoma" w:cs="Tahoma"/>
          <w:sz w:val="20"/>
          <w:szCs w:val="20"/>
          <w:lang w:eastAsia="cs-CZ"/>
        </w:rPr>
        <w:t xml:space="preserve"> </w:t>
      </w:r>
      <w:r>
        <w:rPr>
          <w:rFonts w:ascii="Tahoma" w:hAnsi="Tahoma" w:cs="Tahoma"/>
          <w:sz w:val="20"/>
          <w:szCs w:val="20"/>
          <w:lang w:eastAsia="cs-CZ"/>
        </w:rPr>
        <w:t>-------------------------------</w:t>
      </w:r>
      <w:r>
        <w:rPr>
          <w:rFonts w:ascii="Tahoma" w:hAnsi="Tahoma" w:cs="Tahoma"/>
          <w:sz w:val="20"/>
          <w:szCs w:val="20"/>
          <w:lang w:eastAsia="cs-CZ"/>
        </w:rPr>
        <w:t xml:space="preserve">] </w:t>
      </w:r>
      <w:r>
        <w:rPr>
          <w:rFonts w:ascii="Tahoma" w:hAnsi="Tahoma" w:cs="Tahoma"/>
          <w:sz w:val="20"/>
          <w:szCs w:val="20"/>
          <w:lang w:eastAsia="cs-CZ"/>
        </w:rPr>
        <w:br/>
      </w:r>
      <w:r>
        <w:rPr>
          <w:rFonts w:ascii="Tahoma" w:hAnsi="Tahoma" w:cs="Tahoma"/>
          <w:b/>
          <w:bCs/>
          <w:sz w:val="20"/>
          <w:szCs w:val="20"/>
          <w:lang w:eastAsia="cs-CZ"/>
        </w:rPr>
        <w:t>Sent:</w:t>
      </w:r>
      <w:r>
        <w:rPr>
          <w:rFonts w:ascii="Tahoma" w:hAnsi="Tahoma" w:cs="Tahoma"/>
          <w:sz w:val="20"/>
          <w:szCs w:val="20"/>
          <w:lang w:eastAsia="cs-CZ"/>
        </w:rPr>
        <w:t xml:space="preserve"> </w:t>
      </w:r>
      <w:proofErr w:type="spellStart"/>
      <w:r>
        <w:rPr>
          <w:rFonts w:ascii="Tahoma" w:hAnsi="Tahoma" w:cs="Tahoma"/>
          <w:sz w:val="20"/>
          <w:szCs w:val="20"/>
          <w:lang w:eastAsia="cs-CZ"/>
        </w:rPr>
        <w:t>Friday</w:t>
      </w:r>
      <w:proofErr w:type="spellEnd"/>
      <w:r>
        <w:rPr>
          <w:rFonts w:ascii="Tahoma" w:hAnsi="Tahoma" w:cs="Tahoma"/>
          <w:sz w:val="20"/>
          <w:szCs w:val="20"/>
          <w:lang w:eastAsia="cs-CZ"/>
        </w:rPr>
        <w:t xml:space="preserve">, </w:t>
      </w:r>
      <w:proofErr w:type="spellStart"/>
      <w:r>
        <w:rPr>
          <w:rFonts w:ascii="Tahoma" w:hAnsi="Tahoma" w:cs="Tahoma"/>
          <w:sz w:val="20"/>
          <w:szCs w:val="20"/>
          <w:lang w:eastAsia="cs-CZ"/>
        </w:rPr>
        <w:t>October</w:t>
      </w:r>
      <w:proofErr w:type="spellEnd"/>
      <w:r>
        <w:rPr>
          <w:rFonts w:ascii="Tahoma" w:hAnsi="Tahoma" w:cs="Tahoma"/>
          <w:sz w:val="20"/>
          <w:szCs w:val="20"/>
          <w:lang w:eastAsia="cs-CZ"/>
        </w:rPr>
        <w:t xml:space="preserve"> 19, 2018 9:10 AM</w:t>
      </w:r>
      <w:r>
        <w:rPr>
          <w:rFonts w:ascii="Tahoma" w:hAnsi="Tahoma" w:cs="Tahoma"/>
          <w:sz w:val="20"/>
          <w:szCs w:val="20"/>
          <w:lang w:eastAsia="cs-CZ"/>
        </w:rPr>
        <w:br/>
      </w:r>
      <w:r>
        <w:rPr>
          <w:rFonts w:ascii="Tahoma" w:hAnsi="Tahoma" w:cs="Tahoma"/>
          <w:b/>
          <w:bCs/>
          <w:sz w:val="20"/>
          <w:szCs w:val="20"/>
          <w:lang w:eastAsia="cs-CZ"/>
        </w:rPr>
        <w:t>To:</w:t>
      </w:r>
      <w:r>
        <w:rPr>
          <w:rFonts w:ascii="Tahoma" w:hAnsi="Tahoma" w:cs="Tahoma"/>
          <w:sz w:val="20"/>
          <w:szCs w:val="20"/>
          <w:lang w:eastAsia="cs-CZ"/>
        </w:rPr>
        <w:t xml:space="preserve"> Společná schránka - Odbor střetu zájmů</w:t>
      </w:r>
      <w:r>
        <w:rPr>
          <w:rFonts w:ascii="Tahoma" w:hAnsi="Tahoma" w:cs="Tahoma"/>
          <w:sz w:val="20"/>
          <w:szCs w:val="20"/>
          <w:lang w:eastAsia="cs-CZ"/>
        </w:rPr>
        <w:br/>
      </w:r>
      <w:proofErr w:type="spellStart"/>
      <w:r>
        <w:rPr>
          <w:rFonts w:ascii="Tahoma" w:hAnsi="Tahoma" w:cs="Tahoma"/>
          <w:b/>
          <w:bCs/>
          <w:sz w:val="20"/>
          <w:szCs w:val="20"/>
          <w:lang w:eastAsia="cs-CZ"/>
        </w:rPr>
        <w:t>Subject</w:t>
      </w:r>
      <w:proofErr w:type="spellEnd"/>
      <w:r>
        <w:rPr>
          <w:rFonts w:ascii="Tahoma" w:hAnsi="Tahoma" w:cs="Tahoma"/>
          <w:b/>
          <w:bCs/>
          <w:sz w:val="20"/>
          <w:szCs w:val="20"/>
          <w:lang w:eastAsia="cs-CZ"/>
        </w:rPr>
        <w:t>:</w:t>
      </w:r>
      <w:r>
        <w:rPr>
          <w:rFonts w:ascii="Tahoma" w:hAnsi="Tahoma" w:cs="Tahoma"/>
          <w:sz w:val="20"/>
          <w:szCs w:val="20"/>
          <w:lang w:eastAsia="cs-CZ"/>
        </w:rPr>
        <w:t xml:space="preserve"> dotaz</w:t>
      </w:r>
    </w:p>
    <w:p w:rsidR="002D7B17" w:rsidRDefault="002D7B17" w:rsidP="002D7B17"/>
    <w:p w:rsidR="002D7B17" w:rsidRDefault="002D7B17" w:rsidP="002D7B17">
      <w:r>
        <w:t>Dobrý den,</w:t>
      </w:r>
    </w:p>
    <w:p w:rsidR="002D7B17" w:rsidRPr="002D7B17" w:rsidRDefault="002D7B17" w:rsidP="002D7B17">
      <w:pPr>
        <w:rPr>
          <w:highlight w:val="yellow"/>
        </w:rPr>
      </w:pPr>
      <w:r>
        <w:t xml:space="preserve">ve vztahu k volbám do zastupitelstev obcí se množí dotazy, </w:t>
      </w:r>
      <w:r w:rsidRPr="002D7B17">
        <w:rPr>
          <w:highlight w:val="yellow"/>
        </w:rPr>
        <w:t xml:space="preserve">zda je nezbytné podávat výstupní a vstupní oznámení v případech, kdy volené osoby (např. místostarosta či starosta) jsou opětovně zvoleny do stejné funkce – tedy starosta se na ustavujícím zasedání zastupitelstva stane opět starostou a místostarosta opět místostarostou. </w:t>
      </w:r>
    </w:p>
    <w:p w:rsidR="002D7B17" w:rsidRDefault="002D7B17" w:rsidP="002D7B17">
      <w:r w:rsidRPr="002D7B17">
        <w:rPr>
          <w:highlight w:val="yellow"/>
        </w:rPr>
        <w:t>Tedy nedochází vůbec ke změně funkce a není zde ani minutová prodleva, neboť stejná funkce navazuje na předchozí (jde tedy o rozdílný případ oproti vzorovým případů</w:t>
      </w:r>
      <w:r w:rsidRPr="002D7B17">
        <w:rPr>
          <w:highlight w:val="yellow"/>
        </w:rPr>
        <w:t>m</w:t>
      </w:r>
      <w:r w:rsidRPr="002D7B17">
        <w:rPr>
          <w:highlight w:val="yellow"/>
        </w:rPr>
        <w:t>, které jsou uvedeny na Vašich stránkách – tedy starosta se stane místostarostou a opačně).</w:t>
      </w:r>
      <w:r>
        <w:t xml:space="preserve"> </w:t>
      </w:r>
    </w:p>
    <w:p w:rsidR="002D7B17" w:rsidRDefault="002D7B17" w:rsidP="002D7B17"/>
    <w:p w:rsidR="002D7B17" w:rsidRDefault="002D7B17" w:rsidP="002D7B17">
      <w:r>
        <w:t xml:space="preserve">Podávání oznámení se jeví v takovýchto případech jako ryzí přepjatý formalismus, který bezesporu v současné době nemá (a zejména ve vztahu ke smyslu a účelu zákona) při aplikaci zákona (na základě principu minimálních zásahů orgánů veřejné moci) místo. </w:t>
      </w:r>
    </w:p>
    <w:p w:rsidR="002D7B17" w:rsidRDefault="002D7B17" w:rsidP="002D7B17"/>
    <w:p w:rsidR="002D7B17" w:rsidRDefault="002D7B17" w:rsidP="002D7B17">
      <w:r>
        <w:t>Děkuji za odpověď</w:t>
      </w:r>
    </w:p>
    <w:p w:rsidR="002D7B17" w:rsidRDefault="002D7B17" w:rsidP="002D7B17"/>
    <w:p w:rsidR="002D7B17" w:rsidRDefault="002D7B17" w:rsidP="002D7B17">
      <w:r>
        <w:t>S pozdravem</w:t>
      </w:r>
    </w:p>
    <w:p w:rsidR="002D7B17" w:rsidRDefault="002D7B17" w:rsidP="002D7B17">
      <w:pPr>
        <w:autoSpaceDE w:val="0"/>
        <w:autoSpaceDN w:val="0"/>
        <w:jc w:val="both"/>
        <w:rPr>
          <w:rFonts w:ascii="Calibri Light" w:hAnsi="Calibri Light" w:cs="Calibri Light"/>
        </w:rPr>
      </w:pPr>
      <w:r>
        <w:rPr>
          <w:rFonts w:ascii="Calibri Light" w:hAnsi="Calibri Light" w:cs="Calibri Light"/>
        </w:rPr>
        <w:t>……………………</w:t>
      </w:r>
    </w:p>
    <w:p w:rsidR="002D7B17" w:rsidRDefault="002D7B17" w:rsidP="002D7B17">
      <w:pPr>
        <w:rPr>
          <w:rFonts w:asciiTheme="minorHAnsi" w:hAnsiTheme="minorHAnsi" w:cstheme="minorBidi"/>
          <w:color w:val="1F497D"/>
        </w:rPr>
      </w:pPr>
    </w:p>
    <w:p w:rsidR="002D7B17" w:rsidRDefault="002D7B17" w:rsidP="002D7B17">
      <w:pPr>
        <w:rPr>
          <w:rFonts w:asciiTheme="minorHAnsi" w:hAnsiTheme="minorHAnsi" w:cstheme="minorBidi"/>
          <w:color w:val="1F497D"/>
        </w:rPr>
      </w:pPr>
    </w:p>
    <w:p w:rsidR="002D7B17" w:rsidRDefault="002D7B17" w:rsidP="002D7B17">
      <w:pPr>
        <w:pBdr>
          <w:bottom w:val="single" w:sz="4" w:space="1" w:color="auto"/>
        </w:pBdr>
        <w:rPr>
          <w:rFonts w:asciiTheme="minorHAnsi" w:hAnsiTheme="minorHAnsi" w:cstheme="minorBidi"/>
          <w:color w:val="1F497D"/>
        </w:rPr>
      </w:pPr>
    </w:p>
    <w:p w:rsidR="002D7B17" w:rsidRDefault="002D7B17" w:rsidP="002D7B17">
      <w:pPr>
        <w:rPr>
          <w:rFonts w:eastAsia="Times New Roman"/>
          <w:b/>
          <w:bCs/>
          <w:lang w:eastAsia="cs-CZ"/>
        </w:rPr>
      </w:pPr>
    </w:p>
    <w:p w:rsidR="002D7B17" w:rsidRDefault="002D7B17" w:rsidP="002D7B17">
      <w:pPr>
        <w:rPr>
          <w:rFonts w:eastAsia="Times New Roman"/>
          <w:lang w:eastAsia="cs-CZ"/>
        </w:rPr>
      </w:pPr>
      <w:proofErr w:type="spellStart"/>
      <w:r>
        <w:rPr>
          <w:rFonts w:eastAsia="Times New Roman"/>
          <w:b/>
          <w:bCs/>
          <w:lang w:eastAsia="cs-CZ"/>
        </w:rPr>
        <w:t>From</w:t>
      </w:r>
      <w:proofErr w:type="spellEnd"/>
      <w:r>
        <w:rPr>
          <w:rFonts w:eastAsia="Times New Roman"/>
          <w:b/>
          <w:bCs/>
          <w:lang w:eastAsia="cs-CZ"/>
        </w:rPr>
        <w:t>:</w:t>
      </w:r>
      <w:r>
        <w:rPr>
          <w:rFonts w:eastAsia="Times New Roman"/>
          <w:lang w:eastAsia="cs-CZ"/>
        </w:rPr>
        <w:t xml:space="preserve"> </w:t>
      </w:r>
      <w:r>
        <w:rPr>
          <w:rFonts w:eastAsia="Times New Roman"/>
          <w:lang w:eastAsia="cs-CZ"/>
        </w:rPr>
        <w:t>…………</w:t>
      </w:r>
      <w:proofErr w:type="gramStart"/>
      <w:r>
        <w:rPr>
          <w:rFonts w:eastAsia="Times New Roman"/>
          <w:lang w:eastAsia="cs-CZ"/>
        </w:rPr>
        <w:t>….</w:t>
      </w:r>
      <w:r>
        <w:rPr>
          <w:rFonts w:eastAsia="Times New Roman"/>
          <w:lang w:eastAsia="cs-CZ"/>
        </w:rPr>
        <w:t>. &lt;</w:t>
      </w:r>
      <w:r>
        <w:rPr>
          <w:rFonts w:eastAsia="Times New Roman"/>
          <w:lang w:eastAsia="cs-CZ"/>
        </w:rPr>
        <w:t>.................</w:t>
      </w:r>
      <w:r>
        <w:rPr>
          <w:rFonts w:eastAsia="Times New Roman"/>
          <w:lang w:eastAsia="cs-CZ"/>
        </w:rPr>
        <w:t>@msp</w:t>
      </w:r>
      <w:proofErr w:type="gramEnd"/>
      <w:r>
        <w:rPr>
          <w:rFonts w:eastAsia="Times New Roman"/>
          <w:lang w:eastAsia="cs-CZ"/>
        </w:rPr>
        <w:t xml:space="preserve">.justice.cz&gt; </w:t>
      </w:r>
      <w:r>
        <w:rPr>
          <w:rFonts w:eastAsia="Times New Roman"/>
          <w:lang w:eastAsia="cs-CZ"/>
        </w:rPr>
        <w:br/>
      </w:r>
      <w:r>
        <w:rPr>
          <w:rFonts w:eastAsia="Times New Roman"/>
          <w:b/>
          <w:bCs/>
          <w:lang w:eastAsia="cs-CZ"/>
        </w:rPr>
        <w:t>Sent:</w:t>
      </w:r>
      <w:r>
        <w:rPr>
          <w:rFonts w:eastAsia="Times New Roman"/>
          <w:lang w:eastAsia="cs-CZ"/>
        </w:rPr>
        <w:t xml:space="preserve"> </w:t>
      </w:r>
      <w:proofErr w:type="spellStart"/>
      <w:r>
        <w:rPr>
          <w:rFonts w:eastAsia="Times New Roman"/>
          <w:lang w:eastAsia="cs-CZ"/>
        </w:rPr>
        <w:t>Wednesday</w:t>
      </w:r>
      <w:proofErr w:type="spellEnd"/>
      <w:r>
        <w:rPr>
          <w:rFonts w:eastAsia="Times New Roman"/>
          <w:lang w:eastAsia="cs-CZ"/>
        </w:rPr>
        <w:t xml:space="preserve">, </w:t>
      </w:r>
      <w:proofErr w:type="spellStart"/>
      <w:r>
        <w:rPr>
          <w:rFonts w:eastAsia="Times New Roman"/>
          <w:lang w:eastAsia="cs-CZ"/>
        </w:rPr>
        <w:t>October</w:t>
      </w:r>
      <w:proofErr w:type="spellEnd"/>
      <w:r>
        <w:rPr>
          <w:rFonts w:eastAsia="Times New Roman"/>
          <w:lang w:eastAsia="cs-CZ"/>
        </w:rPr>
        <w:t xml:space="preserve"> 24, 2018 9:58 AM</w:t>
      </w:r>
      <w:r>
        <w:rPr>
          <w:rFonts w:eastAsia="Times New Roman"/>
          <w:lang w:eastAsia="cs-CZ"/>
        </w:rPr>
        <w:br/>
      </w:r>
      <w:r>
        <w:rPr>
          <w:rFonts w:eastAsia="Times New Roman"/>
          <w:b/>
          <w:bCs/>
          <w:lang w:eastAsia="cs-CZ"/>
        </w:rPr>
        <w:t>To</w:t>
      </w:r>
      <w:r>
        <w:rPr>
          <w:rFonts w:eastAsia="Times New Roman"/>
          <w:b/>
          <w:bCs/>
          <w:lang w:eastAsia="cs-CZ"/>
        </w:rPr>
        <w:t>……………………..</w:t>
      </w:r>
      <w:r>
        <w:rPr>
          <w:rFonts w:eastAsia="Times New Roman"/>
          <w:lang w:eastAsia="cs-CZ"/>
        </w:rPr>
        <w:br/>
      </w:r>
      <w:proofErr w:type="spellStart"/>
      <w:r>
        <w:rPr>
          <w:rFonts w:eastAsia="Times New Roman"/>
          <w:b/>
          <w:bCs/>
          <w:lang w:eastAsia="cs-CZ"/>
        </w:rPr>
        <w:t>Subject</w:t>
      </w:r>
      <w:proofErr w:type="spellEnd"/>
      <w:r>
        <w:rPr>
          <w:rFonts w:eastAsia="Times New Roman"/>
          <w:b/>
          <w:bCs/>
          <w:lang w:eastAsia="cs-CZ"/>
        </w:rPr>
        <w:t>:</w:t>
      </w:r>
      <w:r>
        <w:rPr>
          <w:rFonts w:eastAsia="Times New Roman"/>
          <w:lang w:eastAsia="cs-CZ"/>
        </w:rPr>
        <w:t xml:space="preserve"> RE: dotaz</w:t>
      </w:r>
    </w:p>
    <w:p w:rsidR="002D7B17" w:rsidRDefault="002D7B17" w:rsidP="002D7B17"/>
    <w:p w:rsidR="002D7B17" w:rsidRDefault="002D7B17" w:rsidP="002D7B17">
      <w:pPr>
        <w:autoSpaceDE w:val="0"/>
        <w:autoSpaceDN w:val="0"/>
        <w:jc w:val="both"/>
        <w:rPr>
          <w:rFonts w:ascii="Calibri Light" w:hAnsi="Calibri Light" w:cs="Calibri Light"/>
        </w:rPr>
      </w:pPr>
      <w:r>
        <w:rPr>
          <w:rFonts w:ascii="Calibri Light" w:hAnsi="Calibri Light" w:cs="Calibri Light"/>
        </w:rPr>
        <w:t xml:space="preserve">Vážený pane </w:t>
      </w:r>
      <w:r>
        <w:rPr>
          <w:rFonts w:ascii="Calibri Light" w:hAnsi="Calibri Light" w:cs="Calibri Light"/>
        </w:rPr>
        <w:t>…………………..</w:t>
      </w:r>
      <w:r>
        <w:rPr>
          <w:rFonts w:ascii="Calibri Light" w:hAnsi="Calibri Light" w:cs="Calibri Light"/>
        </w:rPr>
        <w:t>,</w:t>
      </w:r>
    </w:p>
    <w:p w:rsidR="002D7B17" w:rsidRDefault="002D7B17" w:rsidP="002D7B17">
      <w:pPr>
        <w:jc w:val="both"/>
        <w:rPr>
          <w:rFonts w:ascii="Calibri Light" w:hAnsi="Calibri Light" w:cs="Calibri Light"/>
        </w:rPr>
      </w:pPr>
    </w:p>
    <w:p w:rsidR="002D7B17" w:rsidRDefault="002D7B17" w:rsidP="002D7B17">
      <w:pPr>
        <w:jc w:val="both"/>
        <w:rPr>
          <w:rFonts w:ascii="Calibri Light" w:hAnsi="Calibri Light" w:cs="Calibri Light"/>
        </w:rPr>
      </w:pPr>
      <w:r>
        <w:rPr>
          <w:rFonts w:ascii="Calibri Light" w:hAnsi="Calibri Light" w:cs="Calibri Light"/>
        </w:rPr>
        <w:t>reaguji na Váš dotaz týkající se zákona č. 159/2006 Sb., o střetu zájmů, ve znění pozdějších předpisů (dále jen „zákon o střetu zájmů“), a povinnosti podávat tzv. vstupní a výstupní oznámení (podle § 12 odst. 1 a 3 zákona o střetu zájmů) veřejným funkcionářem při opětovném zvolení do stejné funkce.</w:t>
      </w:r>
    </w:p>
    <w:p w:rsidR="002D7B17" w:rsidRDefault="002D7B17" w:rsidP="002D7B17">
      <w:pPr>
        <w:jc w:val="both"/>
        <w:rPr>
          <w:rFonts w:ascii="Calibri Light" w:hAnsi="Calibri Light" w:cs="Calibri Light"/>
        </w:rPr>
      </w:pPr>
    </w:p>
    <w:p w:rsidR="002D7B17" w:rsidRDefault="002D7B17" w:rsidP="002D7B17">
      <w:pPr>
        <w:jc w:val="both"/>
        <w:rPr>
          <w:rFonts w:ascii="Calibri Light" w:hAnsi="Calibri Light" w:cs="Calibri Light"/>
        </w:rPr>
      </w:pPr>
      <w:r>
        <w:rPr>
          <w:rFonts w:ascii="Calibri Light" w:hAnsi="Calibri Light" w:cs="Calibri Light"/>
        </w:rPr>
        <w:t xml:space="preserve">Základní právní úpravu vzniku a zániku mandátu člena zastupitelstva obsahuje čl. 102 odst. 2 Ústavy ČR, který říká, že funkční období zastupitelstva je čtyřleté, přičemž podrobnosti stanoví zákon. Tím je zákon č. 491/2001 Sb., o volbách do zastupitelstev obcí a o změně některých zákonů, ve znění pozdějších předpisů (dále jen „zákon o volbách do zastupitelstva obcí“), který ve svém § 55 odst. 1 určí vznik mandátu okamžikem ukončení hlasování </w:t>
      </w:r>
      <w:r>
        <w:rPr>
          <w:rFonts w:ascii="Calibri Light" w:hAnsi="Calibri Light" w:cs="Calibri Light"/>
          <w:lang w:val="en-US"/>
        </w:rPr>
        <w:t>[</w:t>
      </w:r>
      <w:r>
        <w:rPr>
          <w:rFonts w:ascii="Calibri Light" w:hAnsi="Calibri Light" w:cs="Calibri Light"/>
        </w:rPr>
        <w:t>obdobně též podle § 69 odst. 1 zákona č. 128/2000 Sb., o obcích (obecní zřízení), ve znění pozdějších předpisů (dále jen „zákon o obcích“)]. Ustanovení § 55 odst. 2 písm. d) zákona o volbách do zastupitelstev obcí pak říká, že mandát člena zastupitelstva obce zaniká dnem voleb do zastupitelstva obce. Ustanovení § 3 odst. 3 zákona o volbách do zastupitelstev obcí stanoví, že dnem voleb se podle tohoto zákona rozumí první den voleb. Funkční období členů zastupitelstva obce (uvolněných i neuvolněných) končí tedy prvním dnem voleb do zastupitelstva obce.</w:t>
      </w:r>
    </w:p>
    <w:p w:rsidR="002D7B17" w:rsidRDefault="002D7B17" w:rsidP="002D7B17">
      <w:pPr>
        <w:autoSpaceDE w:val="0"/>
        <w:autoSpaceDN w:val="0"/>
        <w:jc w:val="both"/>
        <w:rPr>
          <w:rFonts w:ascii="Calibri Light" w:hAnsi="Calibri Light" w:cs="Calibri Light"/>
        </w:rPr>
      </w:pPr>
    </w:p>
    <w:p w:rsidR="002D7B17" w:rsidRDefault="002D7B17" w:rsidP="002D7B17">
      <w:pPr>
        <w:autoSpaceDE w:val="0"/>
        <w:autoSpaceDN w:val="0"/>
        <w:jc w:val="both"/>
        <w:rPr>
          <w:rFonts w:ascii="Calibri Light" w:hAnsi="Calibri Light" w:cs="Calibri Light"/>
        </w:rPr>
      </w:pPr>
      <w:r>
        <w:rPr>
          <w:rFonts w:ascii="Calibri Light" w:hAnsi="Calibri Light" w:cs="Calibri Light"/>
        </w:rPr>
        <w:t xml:space="preserve">Na období ode dne konání voleb do zastupitelstva obce do zvolení nového starosty, případně místostarosty, a nové rady obce, se použije ustanovení § 102a odst. 1 a § 107 zákona o obcích. Správou obce v tomto mezidobí je pověřen dosavadní starosta, místostarosta a rada obce. Tyto osoby </w:t>
      </w:r>
      <w:r>
        <w:rPr>
          <w:rFonts w:ascii="Calibri Light" w:hAnsi="Calibri Light" w:cs="Calibri Light"/>
          <w:b/>
          <w:bCs/>
        </w:rPr>
        <w:t>jsou však de iure pouze dočasně pověřeny výkonem jednotlivých pravomocí a nedochází u nich k setrvání ve funkci, resp. jejímu ex lege prodloužení</w:t>
      </w:r>
      <w:r>
        <w:rPr>
          <w:rFonts w:ascii="Calibri Light" w:hAnsi="Calibri Light" w:cs="Calibri Light"/>
        </w:rPr>
        <w:t xml:space="preserve">. Výkon těchto pravomocí je mimoto koncipován jako zákonem uložená povinnost, pročež tyto osoby nemohou v daném období „rezignovat“ na výkon těchto pravomocí ani nemohou být nově zvoleným zastupitelstvem obce „odvolány“ (k tomu viz důvodovou zprávu k zákonu č. 298/2008 Sb.). </w:t>
      </w:r>
    </w:p>
    <w:p w:rsidR="002D7B17" w:rsidRDefault="002D7B17" w:rsidP="002D7B17">
      <w:pPr>
        <w:autoSpaceDE w:val="0"/>
        <w:autoSpaceDN w:val="0"/>
        <w:jc w:val="both"/>
        <w:rPr>
          <w:rFonts w:ascii="Calibri Light" w:hAnsi="Calibri Light" w:cs="Calibri Light"/>
        </w:rPr>
      </w:pPr>
    </w:p>
    <w:p w:rsidR="002D7B17" w:rsidRDefault="002D7B17" w:rsidP="002D7B17">
      <w:pPr>
        <w:autoSpaceDE w:val="0"/>
        <w:autoSpaceDN w:val="0"/>
        <w:jc w:val="both"/>
        <w:rPr>
          <w:rFonts w:ascii="Calibri Light" w:hAnsi="Calibri Light" w:cs="Calibri Light"/>
        </w:rPr>
      </w:pPr>
      <w:r>
        <w:rPr>
          <w:rFonts w:ascii="Calibri Light" w:hAnsi="Calibri Light" w:cs="Calibri Light"/>
        </w:rPr>
        <w:t xml:space="preserve">Příslušná ustanovení zákona o střetu zájmů, podle nichž oznamovací povinnost vzniká v okamžiku zápisu zahájení či ukončení výkonu veřejné funkce do Centrálního registru oznámení (§ 12 odst. 1 a 3 ve spojení s § 14a odst. 1 zákona o střetu zájmů), je tak v kontextu výše uvedeného </w:t>
      </w:r>
      <w:r>
        <w:rPr>
          <w:rFonts w:ascii="Calibri Light" w:hAnsi="Calibri Light" w:cs="Calibri Light"/>
          <w:b/>
          <w:bCs/>
        </w:rPr>
        <w:t>nutné vykládat tak, že uplynutí každého funkčního období zastupitelstva obce je okamžikem, kdy dochází ke skončení výkonu funkce všech volených veřejných funkcionářů, jakož i k (opětovnému) zahájení výkonu funkce těch, kteří byli ve volbách zvoleni</w:t>
      </w:r>
      <w:r>
        <w:rPr>
          <w:rFonts w:ascii="Calibri Light" w:hAnsi="Calibri Light" w:cs="Calibri Light"/>
        </w:rPr>
        <w:t xml:space="preserve">. </w:t>
      </w:r>
    </w:p>
    <w:p w:rsidR="002D7B17" w:rsidRDefault="002D7B17" w:rsidP="002D7B17">
      <w:pPr>
        <w:autoSpaceDE w:val="0"/>
        <w:autoSpaceDN w:val="0"/>
        <w:jc w:val="both"/>
        <w:rPr>
          <w:rFonts w:ascii="Calibri Light" w:hAnsi="Calibri Light" w:cs="Calibri Light"/>
        </w:rPr>
      </w:pPr>
    </w:p>
    <w:p w:rsidR="002D7B17" w:rsidRDefault="002D7B17" w:rsidP="002D7B17">
      <w:pPr>
        <w:autoSpaceDE w:val="0"/>
        <w:autoSpaceDN w:val="0"/>
        <w:jc w:val="both"/>
        <w:rPr>
          <w:rFonts w:ascii="Calibri Light" w:hAnsi="Calibri Light" w:cs="Calibri Light"/>
        </w:rPr>
      </w:pPr>
      <w:r>
        <w:rPr>
          <w:rFonts w:ascii="Calibri Light" w:hAnsi="Calibri Light" w:cs="Calibri Light"/>
        </w:rPr>
        <w:t xml:space="preserve">Tento výklad se týká i starosty, místostarosty a členů rady, kteří však de facto ve výkonu uvedených funkcí, resp. jednotlivých pravomocí spojených s danou funkcí pokračují na základě zmocňovacího ustanovení § 102a odst. 1 a § 107 zákona o obcích až do okamžiku, kdy jsou zvoleni nový starosta, místostarosta a členové rady. Na tom nemění nic ani skutečnost, že na uvedené přechodné období je podle našeho názoru s ohledem na smysl a účel ustanovení § 9 až 11 a § 12 odst. 4 zákona o střetu zájmů vztáhnout oznamovací povinnost veřejných funkcionářů, o které jde, neboť v opačném případě by čistě </w:t>
      </w:r>
      <w:proofErr w:type="spellStart"/>
      <w:r>
        <w:rPr>
          <w:rFonts w:ascii="Calibri Light" w:hAnsi="Calibri Light" w:cs="Calibri Light"/>
        </w:rPr>
        <w:t>textuální</w:t>
      </w:r>
      <w:proofErr w:type="spellEnd"/>
      <w:r>
        <w:rPr>
          <w:rFonts w:ascii="Calibri Light" w:hAnsi="Calibri Light" w:cs="Calibri Light"/>
        </w:rPr>
        <w:t xml:space="preserve"> výklad zákona v praxi vyústil ve vznik určitého nežádoucího „slepého“ časového úseku (od prvního dne voleb do zastupitelstva obce do zvolení „nového“ starosty, místostarosty a členů rady), do kterého by dotyční veřejní funkcionáři měli možnost soustředit veškeré změny mimo jiné svých majetkových poměrů, jež by pak nebyly na žádném místě evidovány, jakkoliv by nebylo možné vyloučit jejich souvislost s výkonem pravomocí spojených s funkcí starosty či místostarosty (ev. členů rady).</w:t>
      </w:r>
    </w:p>
    <w:p w:rsidR="002D7B17" w:rsidRDefault="002D7B17" w:rsidP="002D7B17">
      <w:pPr>
        <w:autoSpaceDE w:val="0"/>
        <w:autoSpaceDN w:val="0"/>
        <w:jc w:val="both"/>
        <w:rPr>
          <w:rFonts w:ascii="Calibri Light" w:hAnsi="Calibri Light" w:cs="Calibri Light"/>
        </w:rPr>
      </w:pPr>
    </w:p>
    <w:p w:rsidR="002D7B17" w:rsidRDefault="002D7B17" w:rsidP="002D7B17">
      <w:pPr>
        <w:autoSpaceDE w:val="0"/>
        <w:autoSpaceDN w:val="0"/>
        <w:jc w:val="both"/>
        <w:rPr>
          <w:rFonts w:ascii="Calibri Light" w:hAnsi="Calibri Light" w:cs="Calibri Light"/>
        </w:rPr>
      </w:pPr>
      <w:r>
        <w:rPr>
          <w:rFonts w:ascii="Calibri Light" w:hAnsi="Calibri Light" w:cs="Calibri Light"/>
        </w:rPr>
        <w:t>Subsidiárně lze pro nastíněný výklad argumentovat též tím, že čl. II bod 3 přechodných ustanovení zákona č. 14/2017 Sb. vytvořil legislativní mezeru, když stanovil, že vybraní veřejní funkcionáři měli podat oznámení podle čl. II bodu 3 přechodných ustanovení zákona č. 14/2017 Sb. podle stavu ke dni 1. 9. 2017, a v následujícím roce již pouze oznámení o příjmech za kalendářní rok 2017. Vše, co tito veřejní funkcionáři nabyli v období od 2. 9. 2017 do 31. 12. 2017 (s výjimkou příjmů) a co zároveň podléhá oznamovací povinnosti dle zákona o střetu zájmů, tak není v Centrálním registru oznámení evidováno. Nastíněný výklad tak v případě volených veřejných funkcionářů obcí pomůže tento nechtěný stav napravit.</w:t>
      </w:r>
    </w:p>
    <w:p w:rsidR="002D7B17" w:rsidRDefault="002D7B17" w:rsidP="002D7B17">
      <w:pPr>
        <w:autoSpaceDE w:val="0"/>
        <w:autoSpaceDN w:val="0"/>
        <w:jc w:val="both"/>
        <w:rPr>
          <w:rFonts w:ascii="Calibri Light" w:hAnsi="Calibri Light" w:cs="Calibri Light"/>
        </w:rPr>
      </w:pPr>
    </w:p>
    <w:p w:rsidR="002D7B17" w:rsidRDefault="002D7B17" w:rsidP="002D7B17">
      <w:pPr>
        <w:autoSpaceDE w:val="0"/>
        <w:autoSpaceDN w:val="0"/>
        <w:jc w:val="both"/>
        <w:rPr>
          <w:rFonts w:ascii="Calibri Light" w:hAnsi="Calibri Light" w:cs="Calibri Light"/>
        </w:rPr>
      </w:pPr>
      <w:r>
        <w:rPr>
          <w:rFonts w:ascii="Calibri Light" w:hAnsi="Calibri Light" w:cs="Calibri Light"/>
        </w:rPr>
        <w:t xml:space="preserve">Z těchto důvodů byly podpůrné orgány dopisem, zaslaným dne 7. 10. 2018, upozorněni na skutečnost, že volení veřejní funkcionáři obcí jsou povinni v návaznosti na proběhlé volby podat oznámení podle § 12 odst. 3 zákona o střetu zájmů (tzv. výstupní oznámení) a nově zvolení veřejní funkcionáři obcí jsou povinni podat oznámení dle § 12 odst. 1 zákona o střetu zájmů (tzv. vstupní oznámení). </w:t>
      </w:r>
    </w:p>
    <w:p w:rsidR="002D7B17" w:rsidRDefault="002D7B17" w:rsidP="002D7B17">
      <w:pPr>
        <w:autoSpaceDE w:val="0"/>
        <w:autoSpaceDN w:val="0"/>
        <w:jc w:val="both"/>
        <w:rPr>
          <w:rFonts w:ascii="Calibri Light" w:hAnsi="Calibri Light" w:cs="Calibri Light"/>
        </w:rPr>
      </w:pPr>
    </w:p>
    <w:p w:rsidR="002D7B17" w:rsidRDefault="002D7B17" w:rsidP="002D7B17">
      <w:pPr>
        <w:autoSpaceDE w:val="0"/>
        <w:autoSpaceDN w:val="0"/>
        <w:jc w:val="both"/>
        <w:rPr>
          <w:rFonts w:ascii="Calibri Light" w:hAnsi="Calibri Light" w:cs="Calibri Light"/>
        </w:rPr>
      </w:pPr>
      <w:r>
        <w:rPr>
          <w:rFonts w:ascii="Calibri Light" w:hAnsi="Calibri Light" w:cs="Calibri Light"/>
        </w:rPr>
        <w:t xml:space="preserve">Ministerstvo spravedlnosti si je vědomo skutečnosti, že především u volených veřejných funkcionářů (kteří mohou být znovuzvoleni a výkon funkce v jejich případě trvá de facto nepřetržitě), se bude tento výklad jevit jako komplikovaný, nicméně bez změny právních předpisů nelze podle našeho názoru přistoupit k výkladu jinému. Do budoucna v této souvislosti zvažujeme navázat oznamovací povinnost veřejného funkcionáře na jeho status – status veřejného funkcionáře – tak, aby veřejný funkcionář bez ohledu na počet vykonávaných funkcí podával každoročně pouze oznámení podle § 12 odst. 2 zákona o střetu zájmů (tzv. průběžné oznámení) za podmínky, že by byl v daném roce veřejným funkcionářem nepřetržitě. </w:t>
      </w:r>
    </w:p>
    <w:p w:rsidR="002D7B17" w:rsidRDefault="002D7B17" w:rsidP="002D7B17">
      <w:pPr>
        <w:autoSpaceDE w:val="0"/>
        <w:autoSpaceDN w:val="0"/>
        <w:jc w:val="both"/>
        <w:rPr>
          <w:rFonts w:ascii="Calibri Light" w:hAnsi="Calibri Light" w:cs="Calibri Light"/>
        </w:rPr>
      </w:pPr>
    </w:p>
    <w:p w:rsidR="002D7B17" w:rsidRDefault="002D7B17" w:rsidP="002D7B17">
      <w:pPr>
        <w:autoSpaceDE w:val="0"/>
        <w:autoSpaceDN w:val="0"/>
        <w:jc w:val="both"/>
        <w:rPr>
          <w:rFonts w:ascii="Calibri Light" w:hAnsi="Calibri Light" w:cs="Calibri Light"/>
        </w:rPr>
      </w:pPr>
      <w:r>
        <w:rPr>
          <w:rFonts w:ascii="Calibri Light" w:hAnsi="Calibri Light" w:cs="Calibri Light"/>
        </w:rPr>
        <w:lastRenderedPageBreak/>
        <w:t>S pozdravem</w:t>
      </w:r>
    </w:p>
    <w:p w:rsidR="002D7B17" w:rsidRDefault="002D7B17" w:rsidP="002D7B17">
      <w:pPr>
        <w:autoSpaceDE w:val="0"/>
        <w:autoSpaceDN w:val="0"/>
        <w:jc w:val="both"/>
        <w:rPr>
          <w:rFonts w:ascii="Calibri Light" w:hAnsi="Calibri Light" w:cs="Calibri Light"/>
        </w:rPr>
      </w:pPr>
    </w:p>
    <w:p w:rsidR="002D7B17" w:rsidRDefault="002D7B17" w:rsidP="002D7B17">
      <w:pPr>
        <w:rPr>
          <w:rFonts w:ascii="Calibri Light" w:hAnsi="Calibri Light" w:cs="Calibri Light"/>
          <w:b/>
          <w:bCs/>
          <w:color w:val="1F497D"/>
          <w:sz w:val="24"/>
          <w:szCs w:val="24"/>
        </w:rPr>
      </w:pPr>
      <w:r>
        <w:rPr>
          <w:rFonts w:ascii="Calibri Light" w:hAnsi="Calibri Light" w:cs="Calibri Light"/>
          <w:b/>
          <w:bCs/>
          <w:color w:val="1F497D"/>
        </w:rPr>
        <w:t>……………………………….</w:t>
      </w:r>
      <w:r>
        <w:rPr>
          <w:rFonts w:ascii="Calibri Light" w:hAnsi="Calibri Light" w:cs="Calibri Light"/>
          <w:b/>
          <w:bCs/>
          <w:color w:val="1F497D"/>
        </w:rPr>
        <w:t>.</w:t>
      </w:r>
    </w:p>
    <w:p w:rsidR="002D7B17" w:rsidRDefault="002D7B17" w:rsidP="002D7B17">
      <w:pPr>
        <w:rPr>
          <w:rFonts w:ascii="Calibri Light" w:hAnsi="Calibri Light" w:cs="Calibri Light"/>
        </w:rPr>
      </w:pPr>
      <w:r>
        <w:rPr>
          <w:rFonts w:ascii="Calibri Light" w:hAnsi="Calibri Light" w:cs="Calibri Light"/>
        </w:rPr>
        <w:t>oddělení metodiky a kontroly střetu zájmů</w:t>
      </w:r>
    </w:p>
    <w:p w:rsidR="002D7B17" w:rsidRDefault="002D7B17" w:rsidP="002D7B17">
      <w:pPr>
        <w:rPr>
          <w:rFonts w:ascii="Calibri Light" w:hAnsi="Calibri Light" w:cs="Calibri Light"/>
        </w:rPr>
      </w:pPr>
      <w:r>
        <w:rPr>
          <w:rFonts w:ascii="Calibri Light" w:hAnsi="Calibri Light" w:cs="Calibri Light"/>
        </w:rPr>
        <w:t>odbor střetu zájmů</w:t>
      </w:r>
    </w:p>
    <w:p w:rsidR="002D7B17" w:rsidRDefault="002D7B17" w:rsidP="002D7B17">
      <w:pPr>
        <w:rPr>
          <w:rFonts w:ascii="Calibri Light" w:hAnsi="Calibri Light" w:cs="Calibri Light"/>
        </w:rPr>
      </w:pPr>
    </w:p>
    <w:p w:rsidR="002D7B17" w:rsidRDefault="002D7B17" w:rsidP="002D7B17">
      <w:pPr>
        <w:rPr>
          <w:rFonts w:ascii="Calibri Light" w:hAnsi="Calibri Light" w:cs="Calibri Light"/>
        </w:rPr>
      </w:pPr>
      <w:r>
        <w:rPr>
          <w:rFonts w:ascii="Calibri Light" w:hAnsi="Calibri Light" w:cs="Calibri Light"/>
        </w:rPr>
        <w:t>Ministerstvo spravedlnosti ČR</w:t>
      </w:r>
    </w:p>
    <w:p w:rsidR="002D7B17" w:rsidRDefault="002D7B17" w:rsidP="002D7B17">
      <w:pPr>
        <w:rPr>
          <w:rFonts w:ascii="Calibri Light" w:hAnsi="Calibri Light" w:cs="Calibri Light"/>
        </w:rPr>
      </w:pPr>
      <w:r>
        <w:rPr>
          <w:rFonts w:ascii="Calibri Light" w:hAnsi="Calibri Light" w:cs="Calibri Light"/>
        </w:rPr>
        <w:t>Vyšehradská 16, 128 10 Praha 2</w:t>
      </w:r>
    </w:p>
    <w:p w:rsidR="002D7B17" w:rsidRDefault="002D7B17" w:rsidP="002D7B17">
      <w:pPr>
        <w:rPr>
          <w:rFonts w:ascii="Calibri Light" w:hAnsi="Calibri Light" w:cs="Calibri Light"/>
        </w:rPr>
      </w:pPr>
      <w:r>
        <w:rPr>
          <w:rFonts w:ascii="Calibri Light" w:hAnsi="Calibri Light" w:cs="Calibri Light"/>
        </w:rPr>
        <w:t>tel.: +</w:t>
      </w:r>
      <w:r>
        <w:rPr>
          <w:rFonts w:ascii="Calibri Light" w:hAnsi="Calibri Light" w:cs="Calibri Light"/>
        </w:rPr>
        <w:t>,,,,,,,,,,,,,,,,,,,,,,,</w:t>
      </w:r>
    </w:p>
    <w:p w:rsidR="002D7B17" w:rsidRDefault="002D7B17" w:rsidP="002D7B17">
      <w:pPr>
        <w:rPr>
          <w:rFonts w:ascii="Calibri Light" w:hAnsi="Calibri Light" w:cs="Calibri Light"/>
        </w:rPr>
      </w:pPr>
      <w:r>
        <w:rPr>
          <w:rFonts w:ascii="Calibri Light" w:hAnsi="Calibri Light" w:cs="Calibri Light"/>
        </w:rPr>
        <w:t xml:space="preserve">e-mail: </w:t>
      </w:r>
      <w:hyperlink r:id="rId6" w:history="1">
        <w:r>
          <w:rPr>
            <w:rStyle w:val="Hypertextovodkaz"/>
            <w:rFonts w:ascii="Calibri Light" w:hAnsi="Calibri Light" w:cs="Calibri Light"/>
            <w:color w:val="auto"/>
          </w:rPr>
          <w:t>,,,,,,,,,,,,,,,,,,,,</w:t>
        </w:r>
        <w:r>
          <w:rPr>
            <w:rStyle w:val="Hypertextovodkaz"/>
            <w:rFonts w:ascii="Calibri Light" w:hAnsi="Calibri Light" w:cs="Calibri Light"/>
            <w:color w:val="auto"/>
          </w:rPr>
          <w:t>@msp.justice.cz</w:t>
        </w:r>
      </w:hyperlink>
      <w:r>
        <w:rPr>
          <w:rFonts w:ascii="Calibri Light" w:hAnsi="Calibri Light" w:cs="Calibri Light"/>
        </w:rPr>
        <w:t xml:space="preserve"> </w:t>
      </w:r>
    </w:p>
    <w:p w:rsidR="002D7B17" w:rsidRDefault="002D7B17" w:rsidP="002D7B17">
      <w:pPr>
        <w:rPr>
          <w:rFonts w:ascii="Calibri Light" w:hAnsi="Calibri Light" w:cs="Calibri Light"/>
        </w:rPr>
      </w:pPr>
      <w:hyperlink r:id="rId7" w:history="1">
        <w:r>
          <w:rPr>
            <w:rStyle w:val="Hypertextovodkaz"/>
            <w:rFonts w:ascii="Calibri Light" w:hAnsi="Calibri Light" w:cs="Calibri Light"/>
            <w:color w:val="auto"/>
          </w:rPr>
          <w:t>www.justice.cz</w:t>
        </w:r>
      </w:hyperlink>
    </w:p>
    <w:p w:rsidR="002D7B17" w:rsidRDefault="002D7B17" w:rsidP="002D7B17">
      <w:pPr>
        <w:rPr>
          <w:rFonts w:ascii="Times New Roman" w:hAnsi="Times New Roman" w:cs="Times New Roman"/>
        </w:rPr>
      </w:pPr>
    </w:p>
    <w:p w:rsidR="002D7B17" w:rsidRDefault="002D7B17" w:rsidP="002D7B17">
      <w:pPr>
        <w:rPr>
          <w:color w:val="1F497D"/>
        </w:rPr>
      </w:pPr>
      <w:r>
        <w:rPr>
          <w:noProof/>
          <w:color w:val="0000FF"/>
          <w:lang w:eastAsia="cs-CZ"/>
        </w:rPr>
        <w:drawing>
          <wp:inline distT="0" distB="0" distL="0" distR="0">
            <wp:extent cx="1657350" cy="552450"/>
            <wp:effectExtent l="0" t="0" r="0" b="0"/>
            <wp:docPr id="2" name="Obrázek 2" descr="justice_logo-01_smal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ice_logo-01_smal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57350" cy="552450"/>
                    </a:xfrm>
                    <a:prstGeom prst="rect">
                      <a:avLst/>
                    </a:prstGeom>
                    <a:noFill/>
                    <a:ln>
                      <a:noFill/>
                    </a:ln>
                  </pic:spPr>
                </pic:pic>
              </a:graphicData>
            </a:graphic>
          </wp:inline>
        </w:drawing>
      </w:r>
    </w:p>
    <w:p w:rsidR="002D7B17" w:rsidRDefault="002D7B17" w:rsidP="002D7B17"/>
    <w:p w:rsidR="00BF3832" w:rsidRDefault="00BF3832"/>
    <w:sectPr w:rsidR="00BF38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B17" w:rsidRDefault="002D7B17" w:rsidP="002D7B17">
      <w:r>
        <w:separator/>
      </w:r>
    </w:p>
  </w:endnote>
  <w:endnote w:type="continuationSeparator" w:id="0">
    <w:p w:rsidR="002D7B17" w:rsidRDefault="002D7B17" w:rsidP="002D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B17" w:rsidRDefault="002D7B17" w:rsidP="002D7B17">
      <w:r>
        <w:separator/>
      </w:r>
    </w:p>
  </w:footnote>
  <w:footnote w:type="continuationSeparator" w:id="0">
    <w:p w:rsidR="002D7B17" w:rsidRDefault="002D7B17" w:rsidP="002D7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17"/>
    <w:rsid w:val="002D7B17"/>
    <w:rsid w:val="00A17172"/>
    <w:rsid w:val="00BF3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9578"/>
  <w15:chartTrackingRefBased/>
  <w15:docId w15:val="{8EAA4AA6-C724-4EF4-91B9-1B66FA15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7B17"/>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D7B17"/>
    <w:rPr>
      <w:color w:val="0563C1"/>
      <w:u w:val="single"/>
    </w:rPr>
  </w:style>
  <w:style w:type="paragraph" w:styleId="Zhlav">
    <w:name w:val="header"/>
    <w:basedOn w:val="Normln"/>
    <w:link w:val="ZhlavChar"/>
    <w:uiPriority w:val="99"/>
    <w:unhideWhenUsed/>
    <w:rsid w:val="002D7B17"/>
    <w:pPr>
      <w:tabs>
        <w:tab w:val="center" w:pos="4536"/>
        <w:tab w:val="right" w:pos="9072"/>
      </w:tabs>
    </w:pPr>
  </w:style>
  <w:style w:type="character" w:customStyle="1" w:styleId="ZhlavChar">
    <w:name w:val="Záhlaví Char"/>
    <w:basedOn w:val="Standardnpsmoodstavce"/>
    <w:link w:val="Zhlav"/>
    <w:uiPriority w:val="99"/>
    <w:rsid w:val="002D7B17"/>
    <w:rPr>
      <w:rFonts w:ascii="Calibri" w:hAnsi="Calibri" w:cs="Calibri"/>
    </w:rPr>
  </w:style>
  <w:style w:type="paragraph" w:styleId="Zpat">
    <w:name w:val="footer"/>
    <w:basedOn w:val="Normln"/>
    <w:link w:val="ZpatChar"/>
    <w:uiPriority w:val="99"/>
    <w:unhideWhenUsed/>
    <w:rsid w:val="002D7B17"/>
    <w:pPr>
      <w:tabs>
        <w:tab w:val="center" w:pos="4536"/>
        <w:tab w:val="right" w:pos="9072"/>
      </w:tabs>
    </w:pPr>
  </w:style>
  <w:style w:type="character" w:customStyle="1" w:styleId="ZpatChar">
    <w:name w:val="Zápatí Char"/>
    <w:basedOn w:val="Standardnpsmoodstavce"/>
    <w:link w:val="Zpat"/>
    <w:uiPriority w:val="99"/>
    <w:rsid w:val="002D7B1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08745">
      <w:bodyDiv w:val="1"/>
      <w:marLeft w:val="0"/>
      <w:marRight w:val="0"/>
      <w:marTop w:val="0"/>
      <w:marBottom w:val="0"/>
      <w:divBdr>
        <w:top w:val="none" w:sz="0" w:space="0" w:color="auto"/>
        <w:left w:val="none" w:sz="0" w:space="0" w:color="auto"/>
        <w:bottom w:val="none" w:sz="0" w:space="0" w:color="auto"/>
        <w:right w:val="none" w:sz="0" w:space="0" w:color="auto"/>
      </w:divBdr>
    </w:div>
    <w:div w:id="9472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cz/" TargetMode="External"/><Relationship Id="rId3" Type="http://schemas.openxmlformats.org/officeDocument/2006/relationships/webSettings" Target="webSettings.xml"/><Relationship Id="rId7" Type="http://schemas.openxmlformats.org/officeDocument/2006/relationships/hyperlink" Target="www.justice.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sedlackova@msp.justice.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cid:image002.jpg@01D46B7E.B87EDC40"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6016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Petr Mgr.</dc:creator>
  <cp:keywords/>
  <dc:description/>
  <cp:lastModifiedBy>Adámek Petr Mgr.</cp:lastModifiedBy>
  <cp:revision>2</cp:revision>
  <dcterms:created xsi:type="dcterms:W3CDTF">2018-10-24T08:13:00Z</dcterms:created>
  <dcterms:modified xsi:type="dcterms:W3CDTF">2018-10-24T08:20:00Z</dcterms:modified>
</cp:coreProperties>
</file>